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8CE9B" w14:textId="77777777" w:rsidR="007560A9" w:rsidRDefault="007560A9">
      <w:pPr>
        <w:jc w:val="center"/>
        <w:rPr>
          <w:sz w:val="20"/>
          <w:szCs w:val="20"/>
        </w:rPr>
      </w:pPr>
    </w:p>
    <w:p w14:paraId="55EB0139" w14:textId="77777777" w:rsidR="007560A9" w:rsidRDefault="007560A9" w:rsidP="00E459B3">
      <w:pPr>
        <w:rPr>
          <w:sz w:val="18"/>
          <w:szCs w:val="18"/>
        </w:rPr>
      </w:pPr>
    </w:p>
    <w:p w14:paraId="339ADDB8" w14:textId="77777777" w:rsidR="007560A9" w:rsidRDefault="00844BF7">
      <w:pPr>
        <w:jc w:val="center"/>
        <w:rPr>
          <w:sz w:val="28"/>
          <w:szCs w:val="28"/>
        </w:rPr>
      </w:pPr>
      <w:r>
        <w:rPr>
          <w:b/>
          <w:sz w:val="28"/>
          <w:szCs w:val="28"/>
        </w:rPr>
        <w:t>WORKS CONTRACT NOTICE</w:t>
      </w:r>
      <w:r w:rsidR="00000000">
        <w:rPr>
          <w:noProof/>
          <w:lang w:val="en-US"/>
        </w:rPr>
        <w:pict w14:anchorId="04A512EB">
          <v:shapetype id="_x0000_t32" coordsize="21600,21600" o:spt="32" o:oned="t" path="m,l21600,21600e" filled="f">
            <v:path arrowok="t" fillok="f" o:connecttype="none"/>
            <o:lock v:ext="edit" shapetype="t"/>
          </v:shapetype>
          <v:shape id="Straight Arrow Connector 3" o:spid="_x0000_s2054" type="#_x0000_t32" style="position:absolute;left:0;text-align:left;margin-left:5pt;margin-top:1pt;width:468pt;height:1.75pt;z-index:251658240;visibility:visible;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" filled="t" strokecolor="#d4d4d4" strokeweight="1.75pt">
            <v:stroke joinstyle="miter"/>
            <w10:wrap anchorx="margin"/>
          </v:shape>
        </w:pict>
      </w:r>
    </w:p>
    <w:p w14:paraId="5738B8E7" w14:textId="77777777" w:rsidR="007560A9" w:rsidRDefault="0010616B">
      <w:pPr>
        <w:jc w:val="center"/>
        <w:rPr>
          <w:b/>
          <w:sz w:val="22"/>
          <w:szCs w:val="22"/>
        </w:rPr>
      </w:pPr>
      <w:r w:rsidRPr="0010616B">
        <w:rPr>
          <w:b/>
          <w:sz w:val="22"/>
          <w:szCs w:val="22"/>
        </w:rPr>
        <w:t>Reconstruction the glass facade at S</w:t>
      </w:r>
      <w:r>
        <w:rPr>
          <w:b/>
          <w:sz w:val="22"/>
          <w:szCs w:val="22"/>
        </w:rPr>
        <w:t xml:space="preserve">port </w:t>
      </w:r>
      <w:proofErr w:type="spellStart"/>
      <w:r w:rsidRPr="0010616B">
        <w:rPr>
          <w:b/>
          <w:sz w:val="22"/>
          <w:szCs w:val="22"/>
        </w:rPr>
        <w:t>C</w:t>
      </w:r>
      <w:r>
        <w:rPr>
          <w:b/>
          <w:sz w:val="22"/>
          <w:szCs w:val="22"/>
        </w:rPr>
        <w:t>enter</w:t>
      </w:r>
      <w:proofErr w:type="spellEnd"/>
      <w:r w:rsidRPr="0010616B">
        <w:rPr>
          <w:b/>
          <w:sz w:val="22"/>
          <w:szCs w:val="22"/>
        </w:rPr>
        <w:t xml:space="preserve"> “</w:t>
      </w:r>
      <w:proofErr w:type="spellStart"/>
      <w:r w:rsidRPr="0010616B">
        <w:rPr>
          <w:b/>
          <w:sz w:val="22"/>
          <w:szCs w:val="22"/>
        </w:rPr>
        <w:t>Mejdan</w:t>
      </w:r>
      <w:proofErr w:type="spellEnd"/>
      <w:r>
        <w:rPr>
          <w:b/>
          <w:sz w:val="22"/>
          <w:szCs w:val="22"/>
        </w:rPr>
        <w:t>” Tuzla</w:t>
      </w:r>
    </w:p>
    <w:p w14:paraId="361A66B0" w14:textId="77777777" w:rsidR="007560A9" w:rsidRPr="00155108" w:rsidRDefault="003F7484" w:rsidP="00155108">
      <w:pPr>
        <w:jc w:val="center"/>
        <w:rPr>
          <w:b/>
        </w:rPr>
      </w:pPr>
      <w:r w:rsidRPr="003F7484">
        <w:rPr>
          <w:b/>
        </w:rPr>
        <w:t>03/2024</w:t>
      </w:r>
    </w:p>
    <w:p w14:paraId="2DE22F93" w14:textId="77777777" w:rsidR="007560A9" w:rsidRDefault="00DD5FE5">
      <w:pPr>
        <w:jc w:val="center"/>
        <w:rPr>
          <w:sz w:val="22"/>
          <w:szCs w:val="22"/>
        </w:rPr>
      </w:pPr>
      <w:r>
        <w:rPr>
          <w:b/>
          <w:sz w:val="22"/>
          <w:szCs w:val="22"/>
        </w:rPr>
        <w:t xml:space="preserve">Tuzla, Bosnia and Herzegovina </w:t>
      </w:r>
    </w:p>
    <w:p w14:paraId="5947F8BC" w14:textId="77777777" w:rsidR="007560A9" w:rsidRDefault="007560A9" w:rsidP="00E459B3">
      <w:pPr>
        <w:rPr>
          <w:sz w:val="22"/>
          <w:szCs w:val="22"/>
        </w:rPr>
      </w:pPr>
    </w:p>
    <w:p w14:paraId="391E3870" w14:textId="77777777" w:rsidR="007560A9" w:rsidRDefault="007560A9" w:rsidP="004C39D9">
      <w:pPr>
        <w:jc w:val="both"/>
        <w:rPr>
          <w:sz w:val="22"/>
          <w:szCs w:val="22"/>
        </w:rPr>
      </w:pPr>
    </w:p>
    <w:p w14:paraId="5767E8FE"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Publication reference</w:t>
      </w:r>
    </w:p>
    <w:p w14:paraId="48623CFA" w14:textId="77777777" w:rsidR="007560A9" w:rsidRDefault="003F7484">
      <w:pPr>
        <w:ind w:left="709"/>
        <w:rPr>
          <w:sz w:val="22"/>
          <w:szCs w:val="22"/>
        </w:rPr>
      </w:pPr>
      <w:r w:rsidRPr="003F7484">
        <w:rPr>
          <w:sz w:val="22"/>
          <w:szCs w:val="22"/>
        </w:rPr>
        <w:t>03/2024</w:t>
      </w:r>
    </w:p>
    <w:p w14:paraId="7BCA2174" w14:textId="77777777" w:rsidR="003F7484" w:rsidRDefault="003F7484">
      <w:pPr>
        <w:ind w:left="709"/>
        <w:rPr>
          <w:sz w:val="22"/>
          <w:szCs w:val="22"/>
        </w:rPr>
      </w:pPr>
    </w:p>
    <w:p w14:paraId="147248CB"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Procedure</w:t>
      </w:r>
    </w:p>
    <w:p w14:paraId="7F5F4BB7" w14:textId="77777777" w:rsidR="007560A9" w:rsidRDefault="00DD5FE5">
      <w:pPr>
        <w:pBdr>
          <w:top w:val="nil"/>
          <w:left w:val="nil"/>
          <w:bottom w:val="nil"/>
          <w:right w:val="nil"/>
          <w:between w:val="nil"/>
        </w:pBdr>
        <w:ind w:left="709"/>
        <w:rPr>
          <w:color w:val="000000"/>
        </w:rPr>
      </w:pPr>
      <w:r>
        <w:rPr>
          <w:color w:val="000000"/>
        </w:rPr>
        <w:t>Local o</w:t>
      </w:r>
      <w:r w:rsidR="00844BF7" w:rsidRPr="00DD5FE5">
        <w:rPr>
          <w:color w:val="000000"/>
        </w:rPr>
        <w:t>pen</w:t>
      </w:r>
      <w:r w:rsidR="009271EA">
        <w:rPr>
          <w:color w:val="000000"/>
        </w:rPr>
        <w:t xml:space="preserve"> </w:t>
      </w:r>
      <w:r w:rsidR="0010616B">
        <w:rPr>
          <w:color w:val="000000"/>
        </w:rPr>
        <w:t>procedure</w:t>
      </w:r>
    </w:p>
    <w:p w14:paraId="05E89FA0" w14:textId="77777777" w:rsidR="004C39D9" w:rsidRDefault="004C39D9">
      <w:pPr>
        <w:pBdr>
          <w:top w:val="nil"/>
          <w:left w:val="nil"/>
          <w:bottom w:val="nil"/>
          <w:right w:val="nil"/>
          <w:between w:val="nil"/>
        </w:pBdr>
        <w:ind w:left="709"/>
        <w:rPr>
          <w:color w:val="000000"/>
        </w:rPr>
      </w:pPr>
    </w:p>
    <w:p w14:paraId="48405F38" w14:textId="77777777" w:rsidR="004C39D9" w:rsidRPr="004C39D9" w:rsidRDefault="00844BF7" w:rsidP="004C39D9">
      <w:pPr>
        <w:numPr>
          <w:ilvl w:val="0"/>
          <w:numId w:val="3"/>
        </w:numPr>
        <w:pBdr>
          <w:top w:val="nil"/>
          <w:left w:val="nil"/>
          <w:bottom w:val="nil"/>
          <w:right w:val="nil"/>
          <w:between w:val="nil"/>
        </w:pBdr>
        <w:rPr>
          <w:color w:val="000000"/>
        </w:rPr>
      </w:pPr>
      <w:r>
        <w:rPr>
          <w:b/>
          <w:color w:val="000000"/>
          <w:sz w:val="22"/>
          <w:szCs w:val="22"/>
        </w:rPr>
        <w:t>Programme title</w:t>
      </w:r>
    </w:p>
    <w:p w14:paraId="6891B39E" w14:textId="77777777" w:rsidR="00B76AC2" w:rsidRDefault="00B76AC2" w:rsidP="002C0AC4">
      <w:pPr>
        <w:ind w:left="644"/>
      </w:pPr>
      <w:r w:rsidRPr="00B76AC2">
        <w:t>Interreg VI-A IPA programme Croatia – Bosnia and Herzegovina – Montenegro</w:t>
      </w:r>
    </w:p>
    <w:p w14:paraId="38A4B128" w14:textId="77777777" w:rsidR="007560A9" w:rsidRDefault="007560A9" w:rsidP="002C0AC4">
      <w:pPr>
        <w:ind w:left="644"/>
      </w:pPr>
    </w:p>
    <w:p w14:paraId="212D0F91" w14:textId="77777777" w:rsidR="00866BCD" w:rsidRDefault="00844BF7" w:rsidP="00866BCD">
      <w:pPr>
        <w:numPr>
          <w:ilvl w:val="0"/>
          <w:numId w:val="3"/>
        </w:numPr>
        <w:pBdr>
          <w:top w:val="nil"/>
          <w:left w:val="nil"/>
          <w:bottom w:val="nil"/>
          <w:right w:val="nil"/>
          <w:between w:val="nil"/>
        </w:pBdr>
        <w:rPr>
          <w:color w:val="000000"/>
        </w:rPr>
      </w:pPr>
      <w:r>
        <w:rPr>
          <w:b/>
          <w:color w:val="000000"/>
          <w:sz w:val="22"/>
          <w:szCs w:val="22"/>
        </w:rPr>
        <w:t>Financing</w:t>
      </w:r>
    </w:p>
    <w:p w14:paraId="58BB04D1" w14:textId="77777777" w:rsidR="007560A9" w:rsidRPr="00866BCD" w:rsidRDefault="0010616B" w:rsidP="00866BCD">
      <w:pPr>
        <w:pBdr>
          <w:top w:val="nil"/>
          <w:left w:val="nil"/>
          <w:bottom w:val="nil"/>
          <w:right w:val="nil"/>
          <w:between w:val="nil"/>
        </w:pBdr>
        <w:ind w:firstLine="720"/>
        <w:rPr>
          <w:color w:val="000000"/>
        </w:rPr>
      </w:pPr>
      <w:r w:rsidRPr="00866BCD">
        <w:rPr>
          <w:color w:val="000000"/>
          <w:sz w:val="22"/>
          <w:szCs w:val="22"/>
        </w:rPr>
        <w:t xml:space="preserve">EU SINERGY Project </w:t>
      </w:r>
    </w:p>
    <w:p w14:paraId="19B4A949" w14:textId="77777777" w:rsidR="007560A9" w:rsidRDefault="007560A9">
      <w:pPr>
        <w:ind w:left="709"/>
        <w:rPr>
          <w:sz w:val="22"/>
          <w:szCs w:val="22"/>
        </w:rPr>
      </w:pPr>
    </w:p>
    <w:p w14:paraId="42CF0373" w14:textId="77777777" w:rsidR="007560A9" w:rsidRPr="004C39D9" w:rsidRDefault="00844BF7" w:rsidP="004C39D9">
      <w:pPr>
        <w:numPr>
          <w:ilvl w:val="0"/>
          <w:numId w:val="3"/>
        </w:numPr>
        <w:pBdr>
          <w:top w:val="nil"/>
          <w:left w:val="nil"/>
          <w:bottom w:val="nil"/>
          <w:right w:val="nil"/>
          <w:between w:val="nil"/>
        </w:pBdr>
        <w:rPr>
          <w:color w:val="000000"/>
        </w:rPr>
      </w:pPr>
      <w:r w:rsidRPr="004C39D9">
        <w:rPr>
          <w:b/>
          <w:color w:val="000000"/>
          <w:sz w:val="22"/>
          <w:szCs w:val="22"/>
        </w:rPr>
        <w:t>Contracting Authority</w:t>
      </w:r>
      <w:r w:rsidR="000A597C">
        <w:rPr>
          <w:b/>
          <w:color w:val="000000"/>
          <w:sz w:val="22"/>
          <w:szCs w:val="22"/>
        </w:rPr>
        <w:t xml:space="preserve"> </w:t>
      </w:r>
      <w:r w:rsidRPr="002C0AC4">
        <w:rPr>
          <w:b/>
          <w:color w:val="000000"/>
          <w:sz w:val="22"/>
          <w:szCs w:val="22"/>
        </w:rPr>
        <w:t>(Project partner)</w:t>
      </w:r>
    </w:p>
    <w:p w14:paraId="1AC439E2" w14:textId="77777777" w:rsidR="007560A9" w:rsidRPr="00676173" w:rsidRDefault="00DD5FE5" w:rsidP="00676173">
      <w:pPr>
        <w:tabs>
          <w:tab w:val="left" w:pos="1134"/>
        </w:tabs>
        <w:spacing w:after="480"/>
        <w:ind w:left="709"/>
        <w:rPr>
          <w:sz w:val="22"/>
          <w:szCs w:val="22"/>
          <w:highlight w:val="yellow"/>
        </w:rPr>
      </w:pPr>
      <w:r>
        <w:rPr>
          <w:sz w:val="22"/>
          <w:szCs w:val="22"/>
        </w:rPr>
        <w:t xml:space="preserve">City of Tuzla, address: </w:t>
      </w:r>
      <w:proofErr w:type="spellStart"/>
      <w:r>
        <w:rPr>
          <w:sz w:val="22"/>
          <w:szCs w:val="22"/>
        </w:rPr>
        <w:t>Ul</w:t>
      </w:r>
      <w:proofErr w:type="spellEnd"/>
      <w:r>
        <w:rPr>
          <w:sz w:val="22"/>
          <w:szCs w:val="22"/>
        </w:rPr>
        <w:t xml:space="preserve">. ZAVNOBIH-a 11, 75000 Tuzla, Bosnia and Herzegovina </w:t>
      </w:r>
    </w:p>
    <w:p w14:paraId="74ED442D" w14:textId="77777777" w:rsidR="007560A9" w:rsidRDefault="007560A9">
      <w:pPr>
        <w:pBdr>
          <w:top w:val="nil"/>
          <w:left w:val="nil"/>
          <w:bottom w:val="nil"/>
          <w:right w:val="nil"/>
          <w:between w:val="nil"/>
        </w:pBdr>
        <w:ind w:left="709" w:right="360" w:hanging="360"/>
        <w:rPr>
          <w:color w:val="000000"/>
          <w:sz w:val="22"/>
          <w:szCs w:val="22"/>
        </w:rPr>
      </w:pPr>
    </w:p>
    <w:p w14:paraId="4D5D7193" w14:textId="77777777" w:rsidR="007560A9" w:rsidRDefault="00844BF7">
      <w:pPr>
        <w:keepNext/>
        <w:widowControl/>
        <w:ind w:left="357"/>
        <w:jc w:val="center"/>
        <w:rPr>
          <w:b/>
          <w:sz w:val="22"/>
          <w:szCs w:val="22"/>
        </w:rPr>
      </w:pPr>
      <w:r>
        <w:rPr>
          <w:b/>
          <w:sz w:val="22"/>
          <w:szCs w:val="22"/>
        </w:rPr>
        <w:t>CONTRACT SPECIFICATIONS</w:t>
      </w:r>
      <w:r w:rsidR="00000000">
        <w:rPr>
          <w:noProof/>
          <w:lang w:val="en-US"/>
        </w:rPr>
        <w:pict w14:anchorId="4BD36470">
          <v:shape id="Straight Arrow Connector 2" o:spid="_x0000_s2053" type="#_x0000_t32" style="position:absolute;left:0;text-align:left;margin-left:11pt;margin-top:-1pt;width:468pt;height:1.75pt;z-index:251659264;visibility:visible;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PT19A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" filled="t" strokecolor="#d4d4d4" strokeweight="1.75pt">
            <v:stroke joinstyle="miter"/>
            <w10:wrap anchorx="margin"/>
          </v:shape>
        </w:pict>
      </w:r>
    </w:p>
    <w:p w14:paraId="14DAFEBB"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Description of the contract</w:t>
      </w:r>
    </w:p>
    <w:p w14:paraId="306AF5BF" w14:textId="77777777" w:rsidR="00496DBF" w:rsidRDefault="00496DBF" w:rsidP="00496DBF">
      <w:pPr>
        <w:ind w:left="709"/>
        <w:jc w:val="both"/>
        <w:rPr>
          <w:sz w:val="22"/>
          <w:szCs w:val="22"/>
        </w:rPr>
      </w:pPr>
      <w:r>
        <w:rPr>
          <w:sz w:val="22"/>
          <w:szCs w:val="22"/>
        </w:rPr>
        <w:t xml:space="preserve">This contract is </w:t>
      </w:r>
      <w:r w:rsidR="00EF420A">
        <w:rPr>
          <w:sz w:val="22"/>
          <w:szCs w:val="22"/>
        </w:rPr>
        <w:t xml:space="preserve">implemented </w:t>
      </w:r>
      <w:r w:rsidR="005C2209">
        <w:rPr>
          <w:sz w:val="22"/>
          <w:szCs w:val="22"/>
        </w:rPr>
        <w:t xml:space="preserve">in the framework of </w:t>
      </w:r>
      <w:r>
        <w:rPr>
          <w:sz w:val="22"/>
          <w:szCs w:val="22"/>
        </w:rPr>
        <w:t>EU</w:t>
      </w:r>
      <w:r w:rsidR="008C7235">
        <w:rPr>
          <w:sz w:val="22"/>
          <w:szCs w:val="22"/>
        </w:rPr>
        <w:t>-funded</w:t>
      </w:r>
      <w:r w:rsidR="000A597C">
        <w:rPr>
          <w:sz w:val="22"/>
          <w:szCs w:val="22"/>
        </w:rPr>
        <w:t xml:space="preserve"> </w:t>
      </w:r>
      <w:r w:rsidR="00EF420A">
        <w:t xml:space="preserve">Sport Facilities Green Energy </w:t>
      </w:r>
      <w:r>
        <w:rPr>
          <w:sz w:val="22"/>
          <w:szCs w:val="22"/>
        </w:rPr>
        <w:t xml:space="preserve">Project </w:t>
      </w:r>
      <w:r w:rsidR="00EF420A">
        <w:rPr>
          <w:sz w:val="22"/>
          <w:szCs w:val="22"/>
        </w:rPr>
        <w:t>(SINERGY Project)</w:t>
      </w:r>
      <w:r w:rsidR="008C7235">
        <w:rPr>
          <w:sz w:val="22"/>
          <w:szCs w:val="22"/>
        </w:rPr>
        <w:t>,</w:t>
      </w:r>
      <w:r w:rsidR="000A597C">
        <w:rPr>
          <w:sz w:val="22"/>
          <w:szCs w:val="22"/>
        </w:rPr>
        <w:t xml:space="preserve"> </w:t>
      </w:r>
      <w:r w:rsidR="005C2209">
        <w:rPr>
          <w:sz w:val="22"/>
          <w:szCs w:val="22"/>
        </w:rPr>
        <w:t xml:space="preserve">implemented by City of Tuzla and project partners. </w:t>
      </w:r>
      <w:r>
        <w:rPr>
          <w:sz w:val="22"/>
          <w:szCs w:val="22"/>
        </w:rPr>
        <w:t xml:space="preserve">The assignment includes dismantling of the existing glass façade and installation of new glass façade with energy-efficient glass in sport </w:t>
      </w:r>
      <w:proofErr w:type="spellStart"/>
      <w:r>
        <w:rPr>
          <w:sz w:val="22"/>
          <w:szCs w:val="22"/>
        </w:rPr>
        <w:t>center</w:t>
      </w:r>
      <w:proofErr w:type="spellEnd"/>
      <w:r w:rsidR="000A597C">
        <w:rPr>
          <w:sz w:val="22"/>
          <w:szCs w:val="22"/>
        </w:rPr>
        <w:t xml:space="preserve"> </w:t>
      </w:r>
      <w:r>
        <w:t>“</w:t>
      </w:r>
      <w:proofErr w:type="spellStart"/>
      <w:r>
        <w:t>Mejdan</w:t>
      </w:r>
      <w:proofErr w:type="spellEnd"/>
      <w:r>
        <w:t xml:space="preserve">” in Tuzla, Bosnia and Herzegovina. </w:t>
      </w:r>
    </w:p>
    <w:p w14:paraId="12626181"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Number and titles of lots</w:t>
      </w:r>
    </w:p>
    <w:p w14:paraId="63433F6B" w14:textId="77777777" w:rsidR="007560A9" w:rsidRDefault="00844BF7" w:rsidP="006B351E">
      <w:pPr>
        <w:pBdr>
          <w:top w:val="nil"/>
          <w:left w:val="nil"/>
          <w:bottom w:val="nil"/>
          <w:right w:val="nil"/>
          <w:between w:val="nil"/>
        </w:pBdr>
        <w:ind w:left="709" w:right="360"/>
        <w:jc w:val="both"/>
        <w:rPr>
          <w:color w:val="000000"/>
          <w:sz w:val="22"/>
          <w:szCs w:val="22"/>
        </w:rPr>
      </w:pPr>
      <w:r w:rsidRPr="006B351E">
        <w:rPr>
          <w:color w:val="000000"/>
          <w:sz w:val="22"/>
          <w:szCs w:val="22"/>
        </w:rPr>
        <w:t>One lot only</w:t>
      </w:r>
    </w:p>
    <w:p w14:paraId="25E4D67F" w14:textId="77777777" w:rsidR="006B351E" w:rsidRDefault="006B351E">
      <w:pPr>
        <w:ind w:left="360"/>
        <w:jc w:val="center"/>
        <w:rPr>
          <w:b/>
          <w:sz w:val="22"/>
          <w:szCs w:val="22"/>
        </w:rPr>
      </w:pPr>
    </w:p>
    <w:p w14:paraId="57058BD2" w14:textId="77777777" w:rsidR="00155108" w:rsidRDefault="00155108">
      <w:pPr>
        <w:ind w:left="360"/>
        <w:jc w:val="center"/>
        <w:rPr>
          <w:b/>
          <w:sz w:val="22"/>
          <w:szCs w:val="22"/>
        </w:rPr>
      </w:pPr>
    </w:p>
    <w:p w14:paraId="0AD1CE49" w14:textId="77777777" w:rsidR="007560A9" w:rsidRDefault="00844BF7">
      <w:pPr>
        <w:ind w:left="360"/>
        <w:jc w:val="center"/>
        <w:rPr>
          <w:b/>
          <w:sz w:val="22"/>
          <w:szCs w:val="22"/>
        </w:rPr>
      </w:pPr>
      <w:r>
        <w:rPr>
          <w:b/>
          <w:sz w:val="22"/>
          <w:szCs w:val="22"/>
        </w:rPr>
        <w:lastRenderedPageBreak/>
        <w:t>TERMS OF PARTICIPATION</w:t>
      </w:r>
      <w:r w:rsidR="00000000">
        <w:rPr>
          <w:noProof/>
          <w:lang w:val="en-US"/>
        </w:rPr>
        <w:pict w14:anchorId="07C0F6D4">
          <v:shape id="Straight Arrow Connector 5" o:spid="_x0000_s2052" type="#_x0000_t32" style="position:absolute;left:0;text-align:left;margin-left:11pt;margin-top:0;width:468pt;height:1.75pt;z-index:251660288;visibility:visible;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" filled="t" strokecolor="#d4d4d4" strokeweight="1.75pt">
            <v:stroke joinstyle="miter"/>
            <w10:wrap anchorx="margin"/>
          </v:shape>
        </w:pict>
      </w:r>
    </w:p>
    <w:p w14:paraId="2DE37593" w14:textId="77777777" w:rsidR="007560A9" w:rsidRDefault="00844BF7">
      <w:pPr>
        <w:numPr>
          <w:ilvl w:val="0"/>
          <w:numId w:val="3"/>
        </w:numPr>
        <w:pBdr>
          <w:top w:val="nil"/>
          <w:left w:val="nil"/>
          <w:bottom w:val="nil"/>
          <w:right w:val="nil"/>
          <w:between w:val="nil"/>
        </w:pBdr>
        <w:rPr>
          <w:color w:val="000000"/>
        </w:rPr>
      </w:pPr>
      <w:bookmarkStart w:id="0" w:name="_gjdgxs" w:colFirst="0" w:colLast="0"/>
      <w:bookmarkEnd w:id="0"/>
      <w:r>
        <w:rPr>
          <w:b/>
          <w:color w:val="000000"/>
          <w:sz w:val="22"/>
          <w:szCs w:val="22"/>
        </w:rPr>
        <w:t>Eligibility and rules of origin</w:t>
      </w:r>
    </w:p>
    <w:p w14:paraId="0A2264F1" w14:textId="77777777" w:rsidR="007560A9" w:rsidRDefault="00ED6095" w:rsidP="002C0AC4">
      <w:pPr>
        <w:pBdr>
          <w:top w:val="nil"/>
          <w:left w:val="nil"/>
          <w:bottom w:val="nil"/>
          <w:right w:val="nil"/>
          <w:between w:val="nil"/>
        </w:pBdr>
        <w:ind w:left="709"/>
        <w:jc w:val="both"/>
        <w:rPr>
          <w:color w:val="000000"/>
          <w:sz w:val="22"/>
          <w:szCs w:val="22"/>
        </w:rPr>
      </w:pPr>
      <w:bookmarkStart w:id="1" w:name="_30j0zll" w:colFirst="0" w:colLast="0"/>
      <w:bookmarkStart w:id="2" w:name="_1fob9te" w:colFirst="0" w:colLast="0"/>
      <w:bookmarkEnd w:id="1"/>
      <w:bookmarkEnd w:id="2"/>
      <w:r w:rsidRPr="00ED6095">
        <w:rPr>
          <w:color w:val="000000"/>
          <w:sz w:val="22"/>
          <w:szCs w:val="22"/>
        </w:rPr>
        <w:t>Participation in the award of procurement contracts and other award procedures for actions finan</w:t>
      </w:r>
      <w:r>
        <w:rPr>
          <w:color w:val="000000"/>
          <w:sz w:val="22"/>
          <w:szCs w:val="22"/>
        </w:rPr>
        <w:t>ced under the Programme is</w:t>
      </w:r>
      <w:r w:rsidRPr="00ED6095">
        <w:rPr>
          <w:color w:val="000000"/>
          <w:sz w:val="22"/>
          <w:szCs w:val="22"/>
        </w:rPr>
        <w:t xml:space="preserve"> open to all legal persons which are effectively established in the participating countries, other Member States, other IPA II</w:t>
      </w:r>
      <w:r w:rsidR="00B76AC2">
        <w:rPr>
          <w:color w:val="000000"/>
          <w:sz w:val="22"/>
          <w:szCs w:val="22"/>
        </w:rPr>
        <w:t>I</w:t>
      </w:r>
      <w:r w:rsidRPr="00ED6095">
        <w:rPr>
          <w:color w:val="000000"/>
          <w:sz w:val="22"/>
          <w:szCs w:val="22"/>
        </w:rPr>
        <w:t xml:space="preserve"> beneficiaries, contracting parties to the Agreement on the European Economic Area and partner countries covered by the European Neighbourhood Instrument (hereafter referred to as ‘eligible countries’), and to International Organisations.</w:t>
      </w:r>
    </w:p>
    <w:p w14:paraId="6487318A" w14:textId="77777777" w:rsidR="00ED6095" w:rsidRPr="00ED6095" w:rsidRDefault="00ED6095" w:rsidP="00ED6095">
      <w:pPr>
        <w:pBdr>
          <w:top w:val="nil"/>
          <w:left w:val="nil"/>
          <w:bottom w:val="nil"/>
          <w:right w:val="nil"/>
          <w:between w:val="nil"/>
        </w:pBdr>
        <w:ind w:left="709"/>
        <w:jc w:val="both"/>
        <w:rPr>
          <w:sz w:val="22"/>
          <w:szCs w:val="22"/>
        </w:rPr>
      </w:pPr>
      <w:r w:rsidRPr="00ED6095">
        <w:rPr>
          <w:sz w:val="22"/>
          <w:szCs w:val="22"/>
        </w:rPr>
        <w:t>All supplies purchased under a procurement contract, or in accordance with a grant agreement, financed under IPA II</w:t>
      </w:r>
      <w:r w:rsidR="00B76AC2">
        <w:rPr>
          <w:sz w:val="22"/>
          <w:szCs w:val="22"/>
        </w:rPr>
        <w:t>I</w:t>
      </w:r>
      <w:r w:rsidRPr="00ED6095">
        <w:rPr>
          <w:sz w:val="22"/>
          <w:szCs w:val="22"/>
        </w:rPr>
        <w:t xml:space="preserve"> shall originate from an eligible country or from any country which is eligible under the rules of the partner or other donor or member state or determined in the constitutive act of the trust fund.</w:t>
      </w:r>
    </w:p>
    <w:p w14:paraId="3184599E" w14:textId="77777777" w:rsidR="00ED6095" w:rsidRDefault="00ED6095" w:rsidP="00ED6095">
      <w:pPr>
        <w:pBdr>
          <w:top w:val="nil"/>
          <w:left w:val="nil"/>
          <w:bottom w:val="nil"/>
          <w:right w:val="nil"/>
          <w:between w:val="nil"/>
        </w:pBdr>
        <w:ind w:left="709"/>
        <w:jc w:val="both"/>
        <w:rPr>
          <w:sz w:val="22"/>
          <w:szCs w:val="22"/>
        </w:rPr>
      </w:pPr>
      <w:r w:rsidRPr="000A597C">
        <w:rPr>
          <w:sz w:val="22"/>
          <w:szCs w:val="22"/>
        </w:rPr>
        <w:t>As the Croatian national rules do not contain any restrictions as regards the rules of origin, all goods can originate from any country, irrespective of any thresholds.</w:t>
      </w:r>
    </w:p>
    <w:p w14:paraId="3D6EDE1C" w14:textId="77777777" w:rsidR="007560A9" w:rsidRDefault="00844BF7">
      <w:pPr>
        <w:keepNext/>
        <w:keepLines/>
        <w:numPr>
          <w:ilvl w:val="0"/>
          <w:numId w:val="3"/>
        </w:numPr>
        <w:pBdr>
          <w:top w:val="nil"/>
          <w:left w:val="nil"/>
          <w:bottom w:val="nil"/>
          <w:right w:val="nil"/>
          <w:between w:val="nil"/>
        </w:pBdr>
        <w:rPr>
          <w:color w:val="000000"/>
        </w:rPr>
      </w:pPr>
      <w:r>
        <w:rPr>
          <w:b/>
          <w:color w:val="000000"/>
          <w:sz w:val="22"/>
          <w:szCs w:val="22"/>
        </w:rPr>
        <w:t>Grounds for exclusion</w:t>
      </w:r>
    </w:p>
    <w:p w14:paraId="614BBE99" w14:textId="77777777" w:rsidR="007560A9" w:rsidRDefault="00844BF7">
      <w:pPr>
        <w:keepNext/>
        <w:keepLines/>
        <w:ind w:left="709"/>
        <w:jc w:val="both"/>
        <w:rPr>
          <w:sz w:val="22"/>
          <w:szCs w:val="22"/>
        </w:rPr>
      </w:pPr>
      <w:r>
        <w:rPr>
          <w:sz w:val="22"/>
          <w:szCs w:val="22"/>
        </w:rPr>
        <w:t>Tenderers must submit a signed declaration, included in the Tender Form for a Works Contract, to the effect that they are not in any of the situations listed in point 2.</w:t>
      </w:r>
      <w:r w:rsidR="004C39D9">
        <w:rPr>
          <w:sz w:val="22"/>
          <w:szCs w:val="22"/>
        </w:rPr>
        <w:t>6.10.1.</w:t>
      </w:r>
      <w:r>
        <w:rPr>
          <w:sz w:val="22"/>
          <w:szCs w:val="22"/>
        </w:rPr>
        <w:t xml:space="preserve"> of the </w:t>
      </w:r>
      <w:r>
        <w:rPr>
          <w:b/>
          <w:sz w:val="22"/>
          <w:szCs w:val="22"/>
        </w:rPr>
        <w:t>Practical Guide.</w:t>
      </w:r>
    </w:p>
    <w:p w14:paraId="31DBD909"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Number of tenders</w:t>
      </w:r>
    </w:p>
    <w:p w14:paraId="5A2205DC" w14:textId="77777777" w:rsidR="007560A9" w:rsidRDefault="00844BF7">
      <w:pPr>
        <w:ind w:left="709"/>
        <w:jc w:val="both"/>
        <w:rPr>
          <w:sz w:val="22"/>
          <w:szCs w:val="22"/>
        </w:rPr>
      </w:pPr>
      <w:r>
        <w:rPr>
          <w:sz w:val="22"/>
          <w:szCs w:val="22"/>
        </w:rPr>
        <w:t xml:space="preserve">Tenderers may submit only </w:t>
      </w:r>
      <w:r w:rsidRPr="005C2209">
        <w:rPr>
          <w:b/>
          <w:sz w:val="22"/>
          <w:szCs w:val="22"/>
        </w:rPr>
        <w:t>one tender</w:t>
      </w:r>
      <w:r>
        <w:rPr>
          <w:sz w:val="22"/>
          <w:szCs w:val="22"/>
        </w:rPr>
        <w:t xml:space="preserve"> per lot. Tenders for parts of a lot will not be considered. Any tenderer may state in its tender that it would offer a discount</w:t>
      </w:r>
      <w:r w:rsidRPr="005C2209">
        <w:rPr>
          <w:sz w:val="22"/>
          <w:szCs w:val="22"/>
        </w:rPr>
        <w:t>. Tenderers may not submit a tender for</w:t>
      </w:r>
      <w:r>
        <w:rPr>
          <w:sz w:val="22"/>
          <w:szCs w:val="22"/>
        </w:rPr>
        <w:t xml:space="preserve"> a variant solution in addition to their tender for the works required in the tender dossier.</w:t>
      </w:r>
    </w:p>
    <w:p w14:paraId="6647AFB9" w14:textId="77777777" w:rsidR="007560A9" w:rsidRPr="003F7484" w:rsidRDefault="00844BF7">
      <w:pPr>
        <w:numPr>
          <w:ilvl w:val="0"/>
          <w:numId w:val="3"/>
        </w:numPr>
        <w:pBdr>
          <w:top w:val="nil"/>
          <w:left w:val="nil"/>
          <w:bottom w:val="nil"/>
          <w:right w:val="nil"/>
          <w:between w:val="nil"/>
        </w:pBdr>
        <w:rPr>
          <w:color w:val="000000"/>
        </w:rPr>
      </w:pPr>
      <w:r w:rsidRPr="003F7484">
        <w:rPr>
          <w:b/>
          <w:color w:val="000000"/>
          <w:sz w:val="22"/>
          <w:szCs w:val="22"/>
        </w:rPr>
        <w:t>Tender guarantee</w:t>
      </w:r>
    </w:p>
    <w:p w14:paraId="672D2E23" w14:textId="77777777" w:rsidR="007560A9" w:rsidRDefault="00844BF7" w:rsidP="005C2209">
      <w:pPr>
        <w:ind w:firstLine="709"/>
        <w:jc w:val="both"/>
        <w:rPr>
          <w:sz w:val="22"/>
          <w:szCs w:val="22"/>
        </w:rPr>
      </w:pPr>
      <w:r w:rsidRPr="005C2209">
        <w:rPr>
          <w:sz w:val="22"/>
          <w:szCs w:val="22"/>
        </w:rPr>
        <w:t>No tender guarantee is required</w:t>
      </w:r>
      <w:r w:rsidR="005C2209" w:rsidRPr="005C2209">
        <w:rPr>
          <w:sz w:val="22"/>
          <w:szCs w:val="22"/>
        </w:rPr>
        <w:t>.</w:t>
      </w:r>
    </w:p>
    <w:p w14:paraId="4B4FDE10"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Performance guarantee</w:t>
      </w:r>
    </w:p>
    <w:p w14:paraId="5206F47D" w14:textId="77777777" w:rsidR="007560A9" w:rsidRDefault="00844BF7">
      <w:pPr>
        <w:ind w:left="709"/>
        <w:jc w:val="both"/>
        <w:rPr>
          <w:sz w:val="22"/>
          <w:szCs w:val="22"/>
        </w:rPr>
      </w:pPr>
      <w:r>
        <w:rPr>
          <w:sz w:val="22"/>
          <w:szCs w:val="22"/>
        </w:rPr>
        <w:t xml:space="preserve">The successful tenderer will be asked to provide a performance </w:t>
      </w:r>
      <w:r w:rsidRPr="000A597C">
        <w:rPr>
          <w:sz w:val="22"/>
          <w:szCs w:val="22"/>
        </w:rPr>
        <w:t xml:space="preserve">guarantee of </w:t>
      </w:r>
      <w:r w:rsidR="003F7484" w:rsidRPr="000A597C">
        <w:rPr>
          <w:sz w:val="22"/>
          <w:szCs w:val="22"/>
        </w:rPr>
        <w:t>7%</w:t>
      </w:r>
      <w:r w:rsidR="000A597C">
        <w:rPr>
          <w:sz w:val="22"/>
          <w:szCs w:val="22"/>
        </w:rPr>
        <w:t xml:space="preserve"> </w:t>
      </w:r>
      <w:r w:rsidRPr="000A597C">
        <w:rPr>
          <w:sz w:val="22"/>
          <w:szCs w:val="22"/>
        </w:rPr>
        <w:t>of the amount</w:t>
      </w:r>
      <w:r>
        <w:rPr>
          <w:sz w:val="22"/>
          <w:szCs w:val="22"/>
        </w:rPr>
        <w:t xml:space="preserve"> of the contract at the signing of the contract. This guarantee must be provided together with the return of the countersigned contract no later than 30 days after the tenderer receives the contract signed by the Contracting Authority. If the selected tenderer fails to provide such a guarantee within this period, the contract will be void and a new contract may be drawn up and sent to the tenderer which has submitted the next cheapest compliant tender.</w:t>
      </w:r>
    </w:p>
    <w:p w14:paraId="6FDE2FBB"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Information meeting and/or site visit</w:t>
      </w:r>
    </w:p>
    <w:p w14:paraId="39DA0E59" w14:textId="77777777" w:rsidR="007560A9" w:rsidRPr="006B55B6" w:rsidRDefault="00844BF7">
      <w:pPr>
        <w:ind w:left="709"/>
        <w:jc w:val="both"/>
        <w:rPr>
          <w:sz w:val="22"/>
          <w:szCs w:val="22"/>
        </w:rPr>
      </w:pPr>
      <w:r w:rsidRPr="006B55B6">
        <w:rPr>
          <w:sz w:val="22"/>
          <w:szCs w:val="22"/>
        </w:rPr>
        <w:t>No information meeting is planned.</w:t>
      </w:r>
    </w:p>
    <w:p w14:paraId="7D653815" w14:textId="77777777" w:rsidR="003F7484" w:rsidRDefault="00F033C3" w:rsidP="003F7484">
      <w:pPr>
        <w:ind w:left="709"/>
        <w:jc w:val="both"/>
        <w:rPr>
          <w:sz w:val="22"/>
          <w:szCs w:val="22"/>
        </w:rPr>
      </w:pPr>
      <w:r w:rsidRPr="000A597C">
        <w:rPr>
          <w:b/>
          <w:sz w:val="22"/>
          <w:szCs w:val="22"/>
        </w:rPr>
        <w:t>Site visit</w:t>
      </w:r>
      <w:r w:rsidRPr="000A597C">
        <w:rPr>
          <w:sz w:val="22"/>
          <w:szCs w:val="22"/>
        </w:rPr>
        <w:t xml:space="preserve"> will be held</w:t>
      </w:r>
      <w:r w:rsidR="000A597C" w:rsidRPr="000A597C">
        <w:rPr>
          <w:sz w:val="22"/>
          <w:szCs w:val="22"/>
        </w:rPr>
        <w:t xml:space="preserve"> </w:t>
      </w:r>
      <w:r w:rsidRPr="000A597C">
        <w:rPr>
          <w:sz w:val="22"/>
          <w:szCs w:val="22"/>
        </w:rPr>
        <w:t xml:space="preserve">on </w:t>
      </w:r>
      <w:r w:rsidR="00920F87" w:rsidRPr="000A597C">
        <w:rPr>
          <w:sz w:val="22"/>
          <w:szCs w:val="22"/>
        </w:rPr>
        <w:t>January 28</w:t>
      </w:r>
      <w:r w:rsidR="00920F87" w:rsidRPr="000A597C">
        <w:rPr>
          <w:sz w:val="22"/>
          <w:szCs w:val="22"/>
          <w:vertAlign w:val="superscript"/>
        </w:rPr>
        <w:t>th</w:t>
      </w:r>
      <w:r w:rsidR="00920F87" w:rsidRPr="000A597C">
        <w:rPr>
          <w:sz w:val="22"/>
          <w:szCs w:val="22"/>
        </w:rPr>
        <w:t xml:space="preserve">, </w:t>
      </w:r>
      <w:proofErr w:type="gramStart"/>
      <w:r w:rsidR="00920F87" w:rsidRPr="000A597C">
        <w:rPr>
          <w:sz w:val="22"/>
          <w:szCs w:val="22"/>
        </w:rPr>
        <w:t>2025</w:t>
      </w:r>
      <w:proofErr w:type="gramEnd"/>
      <w:r w:rsidR="00920F87" w:rsidRPr="000A597C">
        <w:rPr>
          <w:sz w:val="22"/>
          <w:szCs w:val="22"/>
        </w:rPr>
        <w:t xml:space="preserve"> </w:t>
      </w:r>
      <w:r w:rsidRPr="000A597C">
        <w:rPr>
          <w:sz w:val="22"/>
          <w:szCs w:val="22"/>
        </w:rPr>
        <w:t>at 11:00 hrs,</w:t>
      </w:r>
      <w:r w:rsidRPr="0079592B">
        <w:rPr>
          <w:sz w:val="22"/>
          <w:szCs w:val="22"/>
        </w:rPr>
        <w:t xml:space="preserve"> address</w:t>
      </w:r>
      <w:r w:rsidR="000A597C">
        <w:rPr>
          <w:sz w:val="22"/>
          <w:szCs w:val="22"/>
        </w:rPr>
        <w:t xml:space="preserve">: </w:t>
      </w:r>
      <w:r>
        <w:rPr>
          <w:sz w:val="22"/>
          <w:szCs w:val="22"/>
        </w:rPr>
        <w:t xml:space="preserve">Sport </w:t>
      </w:r>
      <w:proofErr w:type="spellStart"/>
      <w:r>
        <w:rPr>
          <w:sz w:val="22"/>
          <w:szCs w:val="22"/>
        </w:rPr>
        <w:t>Center</w:t>
      </w:r>
      <w:proofErr w:type="spellEnd"/>
      <w:r>
        <w:rPr>
          <w:sz w:val="22"/>
          <w:szCs w:val="22"/>
        </w:rPr>
        <w:t xml:space="preserve"> “</w:t>
      </w:r>
      <w:proofErr w:type="spellStart"/>
      <w:r>
        <w:rPr>
          <w:sz w:val="22"/>
          <w:szCs w:val="22"/>
        </w:rPr>
        <w:t>Mejdan</w:t>
      </w:r>
      <w:proofErr w:type="spellEnd"/>
      <w:r>
        <w:rPr>
          <w:sz w:val="22"/>
          <w:szCs w:val="22"/>
        </w:rPr>
        <w:t xml:space="preserve">”, </w:t>
      </w:r>
      <w:proofErr w:type="spellStart"/>
      <w:r w:rsidR="00404AFE">
        <w:rPr>
          <w:sz w:val="22"/>
          <w:szCs w:val="22"/>
        </w:rPr>
        <w:t>Bosne</w:t>
      </w:r>
      <w:proofErr w:type="spellEnd"/>
      <w:r w:rsidR="000A597C">
        <w:rPr>
          <w:sz w:val="22"/>
          <w:szCs w:val="22"/>
        </w:rPr>
        <w:t xml:space="preserve"> </w:t>
      </w:r>
      <w:proofErr w:type="spellStart"/>
      <w:r w:rsidR="00404AFE">
        <w:rPr>
          <w:sz w:val="22"/>
          <w:szCs w:val="22"/>
        </w:rPr>
        <w:t>Srebrene</w:t>
      </w:r>
      <w:proofErr w:type="spellEnd"/>
      <w:r w:rsidR="000A597C">
        <w:rPr>
          <w:sz w:val="22"/>
          <w:szCs w:val="22"/>
        </w:rPr>
        <w:t xml:space="preserve"> street</w:t>
      </w:r>
      <w:r w:rsidR="00404AFE">
        <w:rPr>
          <w:sz w:val="22"/>
          <w:szCs w:val="22"/>
        </w:rPr>
        <w:t xml:space="preserve">, </w:t>
      </w:r>
      <w:r>
        <w:rPr>
          <w:sz w:val="22"/>
          <w:szCs w:val="22"/>
        </w:rPr>
        <w:t>Tuzla</w:t>
      </w:r>
      <w:r w:rsidRPr="00F033C3">
        <w:rPr>
          <w:sz w:val="22"/>
          <w:szCs w:val="22"/>
        </w:rPr>
        <w:t xml:space="preserve">, Bosnia and Herzegovina. </w:t>
      </w:r>
      <w:r>
        <w:rPr>
          <w:sz w:val="22"/>
          <w:szCs w:val="22"/>
        </w:rPr>
        <w:t>P</w:t>
      </w:r>
      <w:r w:rsidRPr="00F033C3">
        <w:rPr>
          <w:sz w:val="22"/>
          <w:szCs w:val="22"/>
        </w:rPr>
        <w:t xml:space="preserve">rospective tenderers are obliged to send an e-mail announcing the name of the person and the company name to the following e-mail address, two days before scheduled site visit at the latest in order to organise the visit: </w:t>
      </w:r>
      <w:r w:rsidR="003F7484" w:rsidRPr="003F7484">
        <w:rPr>
          <w:sz w:val="22"/>
          <w:szCs w:val="22"/>
          <w:u w:val="single"/>
        </w:rPr>
        <w:t>esmirs@tuzla.ba</w:t>
      </w:r>
      <w:r w:rsidR="003F7484" w:rsidRPr="003F7484">
        <w:rPr>
          <w:sz w:val="22"/>
          <w:szCs w:val="22"/>
        </w:rPr>
        <w:t xml:space="preserve"> and </w:t>
      </w:r>
      <w:hyperlink r:id="rId7" w:history="1">
        <w:r w:rsidR="003F7484" w:rsidRPr="003F7484">
          <w:rPr>
            <w:rStyle w:val="Hyperlink"/>
            <w:color w:val="auto"/>
            <w:sz w:val="22"/>
            <w:szCs w:val="22"/>
          </w:rPr>
          <w:t>eldar.hrncic@tuzla.ba</w:t>
        </w:r>
      </w:hyperlink>
      <w:r w:rsidR="000A597C">
        <w:t xml:space="preserve"> </w:t>
      </w:r>
    </w:p>
    <w:p w14:paraId="2F256FF9" w14:textId="77777777" w:rsidR="007560A9" w:rsidRPr="003F7484" w:rsidRDefault="00844BF7" w:rsidP="003F7484">
      <w:pPr>
        <w:pStyle w:val="ListParagraph"/>
        <w:numPr>
          <w:ilvl w:val="0"/>
          <w:numId w:val="3"/>
        </w:numPr>
        <w:jc w:val="both"/>
        <w:rPr>
          <w:color w:val="000000"/>
        </w:rPr>
      </w:pPr>
      <w:r w:rsidRPr="003F7484">
        <w:rPr>
          <w:b/>
          <w:color w:val="000000"/>
          <w:sz w:val="22"/>
          <w:szCs w:val="22"/>
        </w:rPr>
        <w:t>Tender validity</w:t>
      </w:r>
    </w:p>
    <w:p w14:paraId="4A455E20" w14:textId="77777777" w:rsidR="007560A9" w:rsidRDefault="00844BF7" w:rsidP="00B95E94">
      <w:pPr>
        <w:ind w:left="709"/>
        <w:jc w:val="both"/>
        <w:rPr>
          <w:sz w:val="22"/>
          <w:szCs w:val="22"/>
        </w:rPr>
      </w:pPr>
      <w:r>
        <w:rPr>
          <w:sz w:val="22"/>
          <w:szCs w:val="22"/>
        </w:rPr>
        <w:t>Tenders must remain valid for a period of 90 days after the deadline for submission of tenders.</w:t>
      </w:r>
      <w:r w:rsidR="00E51566">
        <w:rPr>
          <w:sz w:val="22"/>
          <w:szCs w:val="22"/>
        </w:rPr>
        <w:t xml:space="preserve"> </w:t>
      </w:r>
      <w:r>
        <w:rPr>
          <w:sz w:val="22"/>
          <w:szCs w:val="22"/>
        </w:rPr>
        <w:t xml:space="preserve">In </w:t>
      </w:r>
      <w:r>
        <w:rPr>
          <w:sz w:val="22"/>
          <w:szCs w:val="22"/>
        </w:rPr>
        <w:lastRenderedPageBreak/>
        <w:t>exceptional circumstances, the Contracting Authority may, before the validity period expires, request that tenderers extend the validity of tenders for a specific period.</w:t>
      </w:r>
    </w:p>
    <w:p w14:paraId="6238D414" w14:textId="77777777" w:rsidR="007560A9" w:rsidRPr="00404AFE" w:rsidRDefault="00844BF7">
      <w:pPr>
        <w:numPr>
          <w:ilvl w:val="0"/>
          <w:numId w:val="3"/>
        </w:numPr>
        <w:pBdr>
          <w:top w:val="nil"/>
          <w:left w:val="nil"/>
          <w:bottom w:val="nil"/>
          <w:right w:val="nil"/>
          <w:between w:val="nil"/>
        </w:pBdr>
        <w:rPr>
          <w:color w:val="000000"/>
        </w:rPr>
      </w:pPr>
      <w:r>
        <w:rPr>
          <w:b/>
          <w:color w:val="000000"/>
          <w:sz w:val="22"/>
          <w:szCs w:val="22"/>
        </w:rPr>
        <w:t>Period of implementation of tasks</w:t>
      </w:r>
    </w:p>
    <w:p w14:paraId="392CF708" w14:textId="77777777" w:rsidR="00404AFE" w:rsidRPr="00404AFE" w:rsidRDefault="00404AFE" w:rsidP="00384473">
      <w:pPr>
        <w:pBdr>
          <w:top w:val="nil"/>
          <w:left w:val="nil"/>
          <w:bottom w:val="nil"/>
          <w:right w:val="nil"/>
          <w:between w:val="nil"/>
        </w:pBdr>
        <w:ind w:left="709"/>
        <w:jc w:val="both"/>
        <w:rPr>
          <w:color w:val="000000"/>
        </w:rPr>
      </w:pPr>
      <w:r w:rsidRPr="00404AFE">
        <w:rPr>
          <w:color w:val="000000"/>
          <w:sz w:val="22"/>
          <w:szCs w:val="22"/>
        </w:rPr>
        <w:t xml:space="preserve">Implementation period starts </w:t>
      </w:r>
      <w:r>
        <w:rPr>
          <w:color w:val="000000"/>
          <w:sz w:val="22"/>
          <w:szCs w:val="22"/>
        </w:rPr>
        <w:t xml:space="preserve">upon signature of the contract and will last until provisional acceptance of works. </w:t>
      </w:r>
    </w:p>
    <w:p w14:paraId="0D0DB9BD" w14:textId="77777777" w:rsidR="007560A9" w:rsidRDefault="00000000">
      <w:pPr>
        <w:keepNext/>
        <w:keepLines/>
        <w:rPr>
          <w:sz w:val="22"/>
          <w:szCs w:val="22"/>
        </w:rPr>
      </w:pPr>
      <w:r>
        <w:rPr>
          <w:noProof/>
          <w:lang w:val="en-US"/>
        </w:rPr>
        <w:pict w14:anchorId="10C9EA33">
          <v:shape id="Straight Arrow Connector 4" o:spid="_x0000_s2051" type="#_x0000_t32" style="position:absolute;margin-left:9pt;margin-top:11pt;width:468pt;height:1.75pt;z-index:251661312;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yRp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" filled="t" strokecolor="#d4d4d4" strokeweight="1.75pt">
            <v:stroke joinstyle="miter"/>
            <w10:wrap anchorx="margin"/>
          </v:shape>
        </w:pict>
      </w:r>
    </w:p>
    <w:p w14:paraId="629B343E" w14:textId="77777777" w:rsidR="007560A9" w:rsidRPr="00384473" w:rsidRDefault="00844BF7">
      <w:pPr>
        <w:keepNext/>
        <w:keepLines/>
        <w:ind w:left="360"/>
        <w:jc w:val="center"/>
        <w:rPr>
          <w:b/>
          <w:sz w:val="22"/>
          <w:szCs w:val="22"/>
        </w:rPr>
      </w:pPr>
      <w:r w:rsidRPr="00384473">
        <w:rPr>
          <w:b/>
          <w:sz w:val="22"/>
          <w:szCs w:val="22"/>
        </w:rPr>
        <w:t>SELECTION AND AWARD CRITERIA</w:t>
      </w:r>
    </w:p>
    <w:p w14:paraId="77300B48" w14:textId="77777777" w:rsidR="007560A9" w:rsidRPr="00384473" w:rsidRDefault="00844BF7" w:rsidP="002D5E3B">
      <w:pPr>
        <w:numPr>
          <w:ilvl w:val="0"/>
          <w:numId w:val="3"/>
        </w:numPr>
        <w:pBdr>
          <w:top w:val="nil"/>
          <w:left w:val="nil"/>
          <w:bottom w:val="nil"/>
          <w:right w:val="nil"/>
          <w:between w:val="nil"/>
        </w:pBdr>
        <w:rPr>
          <w:color w:val="000000"/>
          <w:sz w:val="22"/>
          <w:szCs w:val="22"/>
        </w:rPr>
      </w:pPr>
      <w:r w:rsidRPr="00384473">
        <w:rPr>
          <w:b/>
          <w:color w:val="000000"/>
          <w:sz w:val="22"/>
          <w:szCs w:val="22"/>
        </w:rPr>
        <w:t>Selection criteria</w:t>
      </w:r>
    </w:p>
    <w:p w14:paraId="092DC46B" w14:textId="77777777" w:rsidR="00A76C8B" w:rsidRPr="00384473" w:rsidRDefault="00A76C8B" w:rsidP="00A76C8B">
      <w:pPr>
        <w:ind w:left="709" w:hanging="283"/>
        <w:rPr>
          <w:b/>
          <w:sz w:val="22"/>
          <w:szCs w:val="22"/>
          <w:u w:val="single"/>
        </w:rPr>
      </w:pPr>
      <w:r w:rsidRPr="00384473">
        <w:rPr>
          <w:b/>
          <w:sz w:val="22"/>
          <w:szCs w:val="22"/>
          <w:u w:val="single"/>
        </w:rPr>
        <w:t>The selection criteria for tenderers are as follows:</w:t>
      </w:r>
    </w:p>
    <w:p w14:paraId="3BD4E8B4" w14:textId="77777777" w:rsidR="00A76C8B" w:rsidRPr="00323E97" w:rsidRDefault="00A76C8B" w:rsidP="00323E97">
      <w:pPr>
        <w:ind w:left="426"/>
        <w:rPr>
          <w:i/>
          <w:sz w:val="22"/>
          <w:szCs w:val="22"/>
        </w:rPr>
      </w:pPr>
      <w:r w:rsidRPr="00384473">
        <w:rPr>
          <w:b/>
          <w:i/>
          <w:sz w:val="22"/>
          <w:szCs w:val="22"/>
        </w:rPr>
        <w:t>Economic and financial capacity of candidate:</w:t>
      </w:r>
    </w:p>
    <w:p w14:paraId="71F02531" w14:textId="77777777" w:rsidR="00237682" w:rsidRPr="00E51566" w:rsidRDefault="00237682" w:rsidP="00917817">
      <w:pPr>
        <w:numPr>
          <w:ilvl w:val="0"/>
          <w:numId w:val="7"/>
        </w:numPr>
        <w:spacing w:after="0"/>
        <w:contextualSpacing/>
        <w:jc w:val="both"/>
        <w:rPr>
          <w:sz w:val="22"/>
          <w:szCs w:val="22"/>
        </w:rPr>
      </w:pPr>
      <w:r w:rsidRPr="00E51566">
        <w:rPr>
          <w:rFonts w:eastAsia="Calibri"/>
          <w:sz w:val="22"/>
          <w:szCs w:val="22"/>
        </w:rPr>
        <w:t xml:space="preserve">The average annual turnover of the tenderer in the last three (3) years </w:t>
      </w:r>
      <w:r w:rsidR="00A877ED" w:rsidRPr="00E51566">
        <w:rPr>
          <w:rFonts w:eastAsia="Calibri"/>
          <w:sz w:val="22"/>
          <w:szCs w:val="22"/>
        </w:rPr>
        <w:t xml:space="preserve">(2023, 2022 and 2021) </w:t>
      </w:r>
      <w:r w:rsidRPr="00E51566">
        <w:rPr>
          <w:rFonts w:eastAsia="Calibri"/>
          <w:sz w:val="22"/>
          <w:szCs w:val="22"/>
        </w:rPr>
        <w:t>for which accounts have been closed must be at least 1.500.000,00 BAM (one million five hundred thousand BAM</w:t>
      </w:r>
      <w:proofErr w:type="gramStart"/>
      <w:r w:rsidRPr="00E51566">
        <w:rPr>
          <w:rFonts w:eastAsia="Calibri"/>
          <w:sz w:val="22"/>
          <w:szCs w:val="22"/>
        </w:rPr>
        <w:t>)</w:t>
      </w:r>
      <w:r w:rsidR="00A76C8B" w:rsidRPr="00E51566">
        <w:rPr>
          <w:rFonts w:eastAsia="Calibri"/>
          <w:sz w:val="22"/>
          <w:szCs w:val="22"/>
        </w:rPr>
        <w:t>;</w:t>
      </w:r>
      <w:proofErr w:type="gramEnd"/>
    </w:p>
    <w:p w14:paraId="24CFC6E8" w14:textId="77777777" w:rsidR="00A76C8B" w:rsidRPr="00E51566" w:rsidRDefault="00237682" w:rsidP="00A76C8B">
      <w:pPr>
        <w:numPr>
          <w:ilvl w:val="0"/>
          <w:numId w:val="7"/>
        </w:numPr>
        <w:spacing w:after="0"/>
        <w:contextualSpacing/>
        <w:jc w:val="both"/>
        <w:rPr>
          <w:sz w:val="22"/>
          <w:szCs w:val="22"/>
        </w:rPr>
      </w:pPr>
      <w:r w:rsidRPr="00E51566">
        <w:rPr>
          <w:rFonts w:eastAsia="Calibri"/>
          <w:sz w:val="22"/>
          <w:szCs w:val="22"/>
        </w:rPr>
        <w:t xml:space="preserve">In the case of </w:t>
      </w:r>
      <w:proofErr w:type="gramStart"/>
      <w:r w:rsidRPr="00E51566">
        <w:rPr>
          <w:rFonts w:eastAsia="Calibri"/>
          <w:sz w:val="22"/>
          <w:szCs w:val="22"/>
        </w:rPr>
        <w:t>consortium</w:t>
      </w:r>
      <w:proofErr w:type="gramEnd"/>
      <w:r w:rsidRPr="00E51566">
        <w:rPr>
          <w:rFonts w:eastAsia="Calibri"/>
          <w:sz w:val="22"/>
          <w:szCs w:val="22"/>
        </w:rPr>
        <w:t xml:space="preserve"> the Lead Partner's individual average annual turnover in the last three (3) years </w:t>
      </w:r>
      <w:r w:rsidR="00B04582" w:rsidRPr="00E51566">
        <w:rPr>
          <w:rFonts w:eastAsia="Calibri"/>
          <w:sz w:val="22"/>
          <w:szCs w:val="22"/>
        </w:rPr>
        <w:t xml:space="preserve">(2023, 2022 and 2021) </w:t>
      </w:r>
      <w:r w:rsidRPr="00E51566">
        <w:rPr>
          <w:rFonts w:eastAsia="Calibri"/>
          <w:sz w:val="22"/>
          <w:szCs w:val="22"/>
        </w:rPr>
        <w:t>must be at least 1.000.000,00 BAM (one million</w:t>
      </w:r>
      <w:r w:rsidR="00E51566">
        <w:rPr>
          <w:rFonts w:eastAsia="Calibri"/>
          <w:sz w:val="22"/>
          <w:szCs w:val="22"/>
        </w:rPr>
        <w:t xml:space="preserve"> </w:t>
      </w:r>
      <w:r w:rsidRPr="00E51566">
        <w:rPr>
          <w:rFonts w:eastAsia="Calibri"/>
          <w:sz w:val="22"/>
          <w:szCs w:val="22"/>
        </w:rPr>
        <w:t>BAM);</w:t>
      </w:r>
    </w:p>
    <w:p w14:paraId="520E80BB" w14:textId="77777777" w:rsidR="00A76C8B" w:rsidRPr="00384473" w:rsidRDefault="00A76C8B" w:rsidP="00A76C8B">
      <w:pPr>
        <w:ind w:left="426"/>
        <w:rPr>
          <w:sz w:val="22"/>
          <w:szCs w:val="22"/>
        </w:rPr>
      </w:pPr>
      <w:r w:rsidRPr="00384473">
        <w:rPr>
          <w:b/>
          <w:i/>
          <w:sz w:val="22"/>
          <w:szCs w:val="22"/>
        </w:rPr>
        <w:t>Technical and professional capacity of candidate:</w:t>
      </w:r>
    </w:p>
    <w:p w14:paraId="116D6698" w14:textId="77777777" w:rsidR="00A76C8B" w:rsidRPr="00384473" w:rsidRDefault="00A76C8B" w:rsidP="003F7484">
      <w:pPr>
        <w:numPr>
          <w:ilvl w:val="0"/>
          <w:numId w:val="6"/>
        </w:numPr>
        <w:ind w:left="993" w:hanging="425"/>
        <w:jc w:val="both"/>
        <w:rPr>
          <w:sz w:val="22"/>
          <w:szCs w:val="22"/>
        </w:rPr>
      </w:pPr>
      <w:r w:rsidRPr="00384473">
        <w:rPr>
          <w:sz w:val="22"/>
          <w:szCs w:val="22"/>
        </w:rPr>
        <w:t xml:space="preserve">The tenderer must be a legal person registered to carry out the specified </w:t>
      </w:r>
      <w:proofErr w:type="gramStart"/>
      <w:r w:rsidRPr="00384473">
        <w:rPr>
          <w:sz w:val="22"/>
          <w:szCs w:val="22"/>
        </w:rPr>
        <w:t>works;</w:t>
      </w:r>
      <w:proofErr w:type="gramEnd"/>
    </w:p>
    <w:p w14:paraId="2D0594D6" w14:textId="77777777" w:rsidR="00A877ED" w:rsidRPr="00E51566" w:rsidRDefault="00A76C8B" w:rsidP="003F7484">
      <w:pPr>
        <w:numPr>
          <w:ilvl w:val="0"/>
          <w:numId w:val="6"/>
        </w:numPr>
        <w:ind w:left="993" w:hanging="425"/>
        <w:jc w:val="both"/>
        <w:rPr>
          <w:sz w:val="22"/>
          <w:szCs w:val="22"/>
          <w:lang w:eastAsia="en-GB"/>
        </w:rPr>
      </w:pPr>
      <w:r w:rsidRPr="00E51566">
        <w:rPr>
          <w:sz w:val="22"/>
          <w:szCs w:val="22"/>
          <w:lang w:eastAsia="en-GB"/>
        </w:rPr>
        <w:t xml:space="preserve">As a prime contractor, </w:t>
      </w:r>
      <w:r w:rsidR="00A877ED" w:rsidRPr="00E51566">
        <w:rPr>
          <w:sz w:val="22"/>
          <w:szCs w:val="22"/>
          <w:lang w:eastAsia="en-GB"/>
        </w:rPr>
        <w:t>tenderer</w:t>
      </w:r>
      <w:r w:rsidRPr="00E51566">
        <w:rPr>
          <w:sz w:val="22"/>
          <w:szCs w:val="22"/>
          <w:lang w:eastAsia="en-GB"/>
        </w:rPr>
        <w:t xml:space="preserve"> must have </w:t>
      </w:r>
      <w:r w:rsidR="00237682" w:rsidRPr="00E51566">
        <w:rPr>
          <w:sz w:val="22"/>
          <w:szCs w:val="22"/>
          <w:lang w:eastAsia="en-GB"/>
        </w:rPr>
        <w:t>successful experience in the implementation of a</w:t>
      </w:r>
      <w:r w:rsidR="00E51566" w:rsidRPr="00E51566">
        <w:rPr>
          <w:sz w:val="22"/>
          <w:szCs w:val="22"/>
          <w:lang w:eastAsia="en-GB"/>
        </w:rPr>
        <w:t xml:space="preserve"> </w:t>
      </w:r>
      <w:r w:rsidR="00013A5C" w:rsidRPr="00577B91">
        <w:rPr>
          <w:sz w:val="22"/>
          <w:szCs w:val="22"/>
          <w:lang w:eastAsia="en-GB"/>
        </w:rPr>
        <w:t>minimum</w:t>
      </w:r>
      <w:r w:rsidR="00577B91">
        <w:rPr>
          <w:sz w:val="22"/>
          <w:szCs w:val="22"/>
          <w:lang w:eastAsia="en-GB"/>
        </w:rPr>
        <w:t xml:space="preserve"> </w:t>
      </w:r>
      <w:r w:rsidR="00237682" w:rsidRPr="00E51566">
        <w:rPr>
          <w:sz w:val="22"/>
          <w:szCs w:val="22"/>
          <w:lang w:eastAsia="en-GB"/>
        </w:rPr>
        <w:t>of two contracts in the previous five</w:t>
      </w:r>
      <w:r w:rsidR="00256B62" w:rsidRPr="00E51566">
        <w:rPr>
          <w:sz w:val="22"/>
          <w:szCs w:val="22"/>
          <w:lang w:eastAsia="en-GB"/>
        </w:rPr>
        <w:t xml:space="preserve"> (5</w:t>
      </w:r>
      <w:r w:rsidR="00237682" w:rsidRPr="00E51566">
        <w:rPr>
          <w:sz w:val="22"/>
          <w:szCs w:val="22"/>
          <w:lang w:eastAsia="en-GB"/>
        </w:rPr>
        <w:t>) years on maintenance and/or rehabilitation and/or reconstruction and/or construction of suspended/vertical or inclined facades made of aluminium profiles and glass or similar and/or aluminium carpentry, the total value of which is at least 1.000.000,00 (one million BAM</w:t>
      </w:r>
      <w:proofErr w:type="gramStart"/>
      <w:r w:rsidR="00237682" w:rsidRPr="00E51566">
        <w:rPr>
          <w:sz w:val="22"/>
          <w:szCs w:val="22"/>
          <w:lang w:eastAsia="en-GB"/>
        </w:rPr>
        <w:t>)</w:t>
      </w:r>
      <w:r w:rsidR="00A877ED" w:rsidRPr="00E51566">
        <w:rPr>
          <w:sz w:val="22"/>
          <w:szCs w:val="22"/>
          <w:lang w:eastAsia="en-GB"/>
        </w:rPr>
        <w:t>;</w:t>
      </w:r>
      <w:proofErr w:type="gramEnd"/>
    </w:p>
    <w:p w14:paraId="4A2B9163" w14:textId="77777777" w:rsidR="00237682" w:rsidRPr="00E51566" w:rsidRDefault="00A877ED" w:rsidP="003F7484">
      <w:pPr>
        <w:numPr>
          <w:ilvl w:val="0"/>
          <w:numId w:val="6"/>
        </w:numPr>
        <w:ind w:left="993"/>
        <w:jc w:val="both"/>
        <w:rPr>
          <w:sz w:val="22"/>
          <w:szCs w:val="22"/>
          <w:lang w:eastAsia="en-GB"/>
        </w:rPr>
      </w:pPr>
      <w:r w:rsidRPr="00E51566">
        <w:rPr>
          <w:sz w:val="22"/>
          <w:szCs w:val="22"/>
          <w:lang w:eastAsia="en-GB"/>
        </w:rPr>
        <w:t xml:space="preserve">Tenderer must have an employed civil or mechanical engineer </w:t>
      </w:r>
      <w:r w:rsidR="00C94485" w:rsidRPr="00E51566">
        <w:rPr>
          <w:sz w:val="22"/>
          <w:szCs w:val="22"/>
          <w:lang w:eastAsia="en-GB"/>
        </w:rPr>
        <w:t xml:space="preserve">(University degree) </w:t>
      </w:r>
      <w:r w:rsidRPr="00E51566">
        <w:rPr>
          <w:sz w:val="22"/>
          <w:szCs w:val="22"/>
          <w:lang w:eastAsia="en-GB"/>
        </w:rPr>
        <w:t xml:space="preserve">or </w:t>
      </w:r>
      <w:proofErr w:type="gramStart"/>
      <w:r w:rsidRPr="00E51566">
        <w:rPr>
          <w:sz w:val="22"/>
          <w:szCs w:val="22"/>
          <w:lang w:eastAsia="en-GB"/>
        </w:rPr>
        <w:t>bachelor of civil</w:t>
      </w:r>
      <w:proofErr w:type="gramEnd"/>
      <w:r w:rsidRPr="00E51566">
        <w:rPr>
          <w:sz w:val="22"/>
          <w:szCs w:val="22"/>
          <w:lang w:eastAsia="en-GB"/>
        </w:rPr>
        <w:t xml:space="preserve"> or mechanical engineer with min. 240 ETC points, with </w:t>
      </w:r>
      <w:r w:rsidR="00C94485" w:rsidRPr="00E51566">
        <w:rPr>
          <w:sz w:val="22"/>
          <w:szCs w:val="22"/>
          <w:lang w:eastAsia="en-GB"/>
        </w:rPr>
        <w:t xml:space="preserve">at least </w:t>
      </w:r>
      <w:r w:rsidRPr="00E51566">
        <w:rPr>
          <w:sz w:val="22"/>
          <w:szCs w:val="22"/>
          <w:lang w:eastAsia="en-GB"/>
        </w:rPr>
        <w:t>five</w:t>
      </w:r>
      <w:r w:rsidR="00C94485" w:rsidRPr="00E51566">
        <w:rPr>
          <w:sz w:val="22"/>
          <w:szCs w:val="22"/>
          <w:lang w:eastAsia="en-GB"/>
        </w:rPr>
        <w:t xml:space="preserve"> (5</w:t>
      </w:r>
      <w:r w:rsidRPr="00E51566">
        <w:rPr>
          <w:sz w:val="22"/>
          <w:szCs w:val="22"/>
          <w:lang w:eastAsia="en-GB"/>
        </w:rPr>
        <w:t xml:space="preserve">) years of work experience in the </w:t>
      </w:r>
      <w:r w:rsidR="00C94485" w:rsidRPr="00E51566">
        <w:rPr>
          <w:sz w:val="22"/>
          <w:szCs w:val="22"/>
          <w:lang w:eastAsia="en-GB"/>
        </w:rPr>
        <w:t>relevant field</w:t>
      </w:r>
      <w:r w:rsidRPr="00E51566">
        <w:rPr>
          <w:sz w:val="22"/>
          <w:szCs w:val="22"/>
          <w:lang w:eastAsia="en-GB"/>
        </w:rPr>
        <w:t xml:space="preserve"> and a passed professional exam</w:t>
      </w:r>
      <w:r w:rsidR="00C94485" w:rsidRPr="00E51566">
        <w:rPr>
          <w:sz w:val="22"/>
          <w:szCs w:val="22"/>
          <w:lang w:eastAsia="en-GB"/>
        </w:rPr>
        <w:t>;</w:t>
      </w:r>
    </w:p>
    <w:p w14:paraId="04754CEC" w14:textId="77777777" w:rsidR="00237682" w:rsidRPr="00E51566" w:rsidRDefault="009C53E1" w:rsidP="003F7484">
      <w:pPr>
        <w:numPr>
          <w:ilvl w:val="0"/>
          <w:numId w:val="6"/>
        </w:numPr>
        <w:ind w:left="993"/>
        <w:jc w:val="both"/>
        <w:rPr>
          <w:sz w:val="22"/>
          <w:szCs w:val="22"/>
          <w:lang w:eastAsia="en-GB"/>
        </w:rPr>
      </w:pPr>
      <w:r w:rsidRPr="00E51566">
        <w:rPr>
          <w:sz w:val="22"/>
          <w:szCs w:val="22"/>
          <w:lang w:eastAsia="en-GB"/>
        </w:rPr>
        <w:t xml:space="preserve">Tenderer must demonstrate ownership or having at his disposal a suitable </w:t>
      </w:r>
      <w:r w:rsidRPr="00E51566">
        <w:rPr>
          <w:b/>
          <w:sz w:val="22"/>
          <w:szCs w:val="22"/>
          <w:lang w:eastAsia="en-GB"/>
        </w:rPr>
        <w:t>crane and scaffolding</w:t>
      </w:r>
      <w:r w:rsidRPr="00E51566">
        <w:rPr>
          <w:sz w:val="22"/>
          <w:szCs w:val="22"/>
          <w:lang w:eastAsia="en-GB"/>
        </w:rPr>
        <w:t xml:space="preserve"> of a height and capacity suitable for the </w:t>
      </w:r>
      <w:r w:rsidR="00256B62" w:rsidRPr="00E51566">
        <w:rPr>
          <w:sz w:val="22"/>
          <w:szCs w:val="22"/>
          <w:lang w:eastAsia="en-GB"/>
        </w:rPr>
        <w:t>assembly and installation</w:t>
      </w:r>
      <w:r w:rsidRPr="00E51566">
        <w:rPr>
          <w:sz w:val="22"/>
          <w:szCs w:val="22"/>
          <w:lang w:eastAsia="en-GB"/>
        </w:rPr>
        <w:t xml:space="preserve"> of aluminium profiles and glass panels.</w:t>
      </w:r>
    </w:p>
    <w:p w14:paraId="2314B7ED"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Award criteria</w:t>
      </w:r>
    </w:p>
    <w:p w14:paraId="6CE0CFCB" w14:textId="77777777" w:rsidR="007560A9" w:rsidRDefault="00844BF7">
      <w:pPr>
        <w:ind w:left="720"/>
        <w:rPr>
          <w:sz w:val="22"/>
          <w:szCs w:val="22"/>
        </w:rPr>
      </w:pPr>
      <w:r w:rsidRPr="005875B6">
        <w:rPr>
          <w:sz w:val="22"/>
          <w:szCs w:val="22"/>
        </w:rPr>
        <w:t>The most economically advantageous tender is the technically compliant tender with the lowest price.</w:t>
      </w:r>
    </w:p>
    <w:p w14:paraId="079090A4" w14:textId="77777777" w:rsidR="007560A9" w:rsidRDefault="00000000">
      <w:pPr>
        <w:rPr>
          <w:sz w:val="22"/>
          <w:szCs w:val="22"/>
        </w:rPr>
      </w:pPr>
      <w:r>
        <w:rPr>
          <w:noProof/>
          <w:lang w:val="en-US"/>
        </w:rPr>
        <w:pict w14:anchorId="2D2A6F6F">
          <v:shape id="Straight Arrow Connector 1" o:spid="_x0000_s2050" type="#_x0000_t32" style="position:absolute;margin-left:9pt;margin-top:11pt;width:468pt;height:1.75pt;z-index:251662336;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" filled="t" strokecolor="#d4d4d4" strokeweight="1.75pt">
            <v:stroke joinstyle="miter"/>
            <w10:wrap anchorx="margin"/>
          </v:shape>
        </w:pict>
      </w:r>
    </w:p>
    <w:p w14:paraId="50099AA6" w14:textId="77777777" w:rsidR="00384473" w:rsidRDefault="00384473">
      <w:pPr>
        <w:ind w:left="360"/>
        <w:jc w:val="center"/>
        <w:rPr>
          <w:b/>
          <w:sz w:val="22"/>
          <w:szCs w:val="22"/>
        </w:rPr>
      </w:pPr>
    </w:p>
    <w:p w14:paraId="1B7EBF8D" w14:textId="77777777" w:rsidR="007560A9" w:rsidRDefault="00844BF7">
      <w:pPr>
        <w:ind w:left="360"/>
        <w:jc w:val="center"/>
        <w:rPr>
          <w:b/>
          <w:sz w:val="22"/>
          <w:szCs w:val="22"/>
        </w:rPr>
      </w:pPr>
      <w:r>
        <w:rPr>
          <w:b/>
          <w:sz w:val="22"/>
          <w:szCs w:val="22"/>
        </w:rPr>
        <w:t>TENDERING</w:t>
      </w:r>
    </w:p>
    <w:p w14:paraId="6887579E"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How to obtain the tender dossier</w:t>
      </w:r>
    </w:p>
    <w:p w14:paraId="2B39289C" w14:textId="77777777" w:rsidR="007560A9" w:rsidRDefault="00844BF7">
      <w:pPr>
        <w:ind w:left="709"/>
        <w:jc w:val="both"/>
        <w:rPr>
          <w:sz w:val="22"/>
          <w:szCs w:val="22"/>
        </w:rPr>
      </w:pPr>
      <w:r>
        <w:rPr>
          <w:sz w:val="22"/>
          <w:szCs w:val="22"/>
        </w:rPr>
        <w:t xml:space="preserve">The tender dossier is available the following Internet </w:t>
      </w:r>
      <w:r w:rsidRPr="00583DCF">
        <w:rPr>
          <w:sz w:val="22"/>
          <w:szCs w:val="22"/>
        </w:rPr>
        <w:t>address</w:t>
      </w:r>
      <w:r w:rsidR="00FD70A2" w:rsidRPr="00583DCF">
        <w:rPr>
          <w:sz w:val="22"/>
          <w:szCs w:val="22"/>
          <w:lang w:val="en-US"/>
        </w:rPr>
        <w:t xml:space="preserve">: </w:t>
      </w:r>
      <w:hyperlink r:id="rId8" w:history="1">
        <w:r w:rsidR="00FD70A2" w:rsidRPr="00583DCF">
          <w:rPr>
            <w:rStyle w:val="Hyperlink"/>
            <w:sz w:val="22"/>
            <w:szCs w:val="22"/>
            <w:lang w:val="en-US"/>
          </w:rPr>
          <w:t>https://gra</w:t>
        </w:r>
        <w:r w:rsidR="00FD70A2" w:rsidRPr="00583DCF">
          <w:rPr>
            <w:rStyle w:val="Hyperlink"/>
            <w:sz w:val="22"/>
            <w:szCs w:val="22"/>
            <w:lang w:val="en-US"/>
          </w:rPr>
          <w:t>d</w:t>
        </w:r>
        <w:r w:rsidR="00FD70A2" w:rsidRPr="00583DCF">
          <w:rPr>
            <w:rStyle w:val="Hyperlink"/>
            <w:sz w:val="22"/>
            <w:szCs w:val="22"/>
            <w:lang w:val="en-US"/>
          </w:rPr>
          <w:t>.tuzla.ba/sport-facilities-green-energy-sinergy-u-tuzli/</w:t>
        </w:r>
      </w:hyperlink>
      <w:r w:rsidR="00FD70A2" w:rsidRPr="00583DCF">
        <w:rPr>
          <w:sz w:val="22"/>
          <w:szCs w:val="22"/>
          <w:lang w:val="en-US"/>
        </w:rPr>
        <w:t xml:space="preserve">. </w:t>
      </w:r>
      <w:r w:rsidRPr="00583DCF">
        <w:rPr>
          <w:sz w:val="22"/>
          <w:szCs w:val="22"/>
        </w:rPr>
        <w:t>Tenders must be submitted</w:t>
      </w:r>
      <w:r>
        <w:rPr>
          <w:sz w:val="22"/>
          <w:szCs w:val="22"/>
        </w:rPr>
        <w:t xml:space="preserve"> using the standard tender form included in the tender dossier, whose format and instructions must be strictly observed.</w:t>
      </w:r>
    </w:p>
    <w:p w14:paraId="4AD7A4D7" w14:textId="77777777" w:rsidR="007560A9" w:rsidRDefault="00844BF7">
      <w:pPr>
        <w:ind w:left="709"/>
        <w:jc w:val="both"/>
        <w:rPr>
          <w:sz w:val="22"/>
          <w:szCs w:val="22"/>
        </w:rPr>
      </w:pPr>
      <w:bookmarkStart w:id="3" w:name="_3znysh7" w:colFirst="0" w:colLast="0"/>
      <w:bookmarkEnd w:id="3"/>
      <w:r w:rsidRPr="00583DCF">
        <w:rPr>
          <w:sz w:val="22"/>
          <w:szCs w:val="22"/>
        </w:rPr>
        <w:lastRenderedPageBreak/>
        <w:t xml:space="preserve">Tenderers with questions regarding this tender should send them in writing to </w:t>
      </w:r>
      <w:r w:rsidR="00135317" w:rsidRPr="00583DCF">
        <w:rPr>
          <w:sz w:val="22"/>
          <w:szCs w:val="22"/>
        </w:rPr>
        <w:t xml:space="preserve">e-mail: </w:t>
      </w:r>
      <w:hyperlink r:id="rId9" w:history="1">
        <w:r w:rsidR="003F7484" w:rsidRPr="00583DCF">
          <w:rPr>
            <w:rStyle w:val="Hyperlink"/>
            <w:sz w:val="22"/>
            <w:szCs w:val="22"/>
          </w:rPr>
          <w:t>esmirs@tuzla.ba</w:t>
        </w:r>
      </w:hyperlink>
      <w:r w:rsidR="003F7484" w:rsidRPr="00583DCF">
        <w:rPr>
          <w:sz w:val="22"/>
          <w:szCs w:val="22"/>
        </w:rPr>
        <w:t xml:space="preserve"> and </w:t>
      </w:r>
      <w:hyperlink r:id="rId10" w:history="1">
        <w:r w:rsidR="003F7484" w:rsidRPr="00583DCF">
          <w:rPr>
            <w:rStyle w:val="Hyperlink"/>
            <w:sz w:val="22"/>
            <w:szCs w:val="22"/>
          </w:rPr>
          <w:t>eldar.hrncic@tuzla.ba</w:t>
        </w:r>
      </w:hyperlink>
      <w:r w:rsidR="00583DCF" w:rsidRPr="00583DCF">
        <w:t xml:space="preserve"> </w:t>
      </w:r>
      <w:r w:rsidRPr="00583DCF">
        <w:rPr>
          <w:sz w:val="22"/>
          <w:szCs w:val="22"/>
        </w:rPr>
        <w:t>(mentioning the publication reference shown in item 1) at least 21 days before the deadline for submission of tenders given in item 19. The Contracting Authority must reply to all tenderers' questions at least 11 days before the deadline for submission of tenders. Eventual clarifications or minor changes to the tender dossier shall be published at the latest 11 days before the submission deadline on the</w:t>
      </w:r>
      <w:r w:rsidR="0018781C" w:rsidRPr="00583DCF">
        <w:rPr>
          <w:sz w:val="22"/>
          <w:szCs w:val="22"/>
          <w:lang w:val="en-US"/>
        </w:rPr>
        <w:t xml:space="preserve">: </w:t>
      </w:r>
      <w:hyperlink r:id="rId11" w:history="1">
        <w:r w:rsidR="0018781C" w:rsidRPr="00583DCF">
          <w:rPr>
            <w:rStyle w:val="Hyperlink"/>
            <w:sz w:val="22"/>
            <w:szCs w:val="22"/>
            <w:lang w:val="en-US"/>
          </w:rPr>
          <w:t>https://grad.tuzla.ba/sport-facilities-green-energy-sinergy-u-tuzli/</w:t>
        </w:r>
      </w:hyperlink>
      <w:r w:rsidR="0018781C" w:rsidRPr="00583DCF">
        <w:rPr>
          <w:sz w:val="22"/>
          <w:szCs w:val="22"/>
          <w:lang w:val="en-US"/>
        </w:rPr>
        <w:t>.</w:t>
      </w:r>
    </w:p>
    <w:p w14:paraId="4DDBA079"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Deadline for submission of tenders</w:t>
      </w:r>
    </w:p>
    <w:p w14:paraId="7DA83006" w14:textId="77777777" w:rsidR="005434FB" w:rsidRPr="00583DCF" w:rsidRDefault="00760577">
      <w:pPr>
        <w:ind w:left="709"/>
        <w:jc w:val="both"/>
        <w:rPr>
          <w:sz w:val="22"/>
          <w:szCs w:val="22"/>
        </w:rPr>
      </w:pPr>
      <w:r w:rsidRPr="00583DCF">
        <w:rPr>
          <w:sz w:val="22"/>
          <w:szCs w:val="22"/>
        </w:rPr>
        <w:t xml:space="preserve">Deadline for submission of </w:t>
      </w:r>
      <w:r w:rsidR="00F35B4F" w:rsidRPr="00583DCF">
        <w:rPr>
          <w:sz w:val="22"/>
          <w:szCs w:val="22"/>
        </w:rPr>
        <w:t xml:space="preserve">tenders: </w:t>
      </w:r>
      <w:bookmarkStart w:id="4" w:name="_Hlk184815751"/>
      <w:r w:rsidR="004B391C" w:rsidRPr="00583DCF">
        <w:rPr>
          <w:sz w:val="22"/>
          <w:szCs w:val="22"/>
        </w:rPr>
        <w:t>February</w:t>
      </w:r>
      <w:r w:rsidR="00583DCF" w:rsidRPr="00583DCF">
        <w:rPr>
          <w:sz w:val="22"/>
          <w:szCs w:val="22"/>
        </w:rPr>
        <w:t xml:space="preserve"> </w:t>
      </w:r>
      <w:r w:rsidR="00C63D15" w:rsidRPr="00583DCF">
        <w:rPr>
          <w:sz w:val="22"/>
          <w:szCs w:val="22"/>
        </w:rPr>
        <w:t>20</w:t>
      </w:r>
      <w:r w:rsidR="00C63D15" w:rsidRPr="00583DCF">
        <w:rPr>
          <w:sz w:val="22"/>
          <w:szCs w:val="22"/>
          <w:vertAlign w:val="superscript"/>
        </w:rPr>
        <w:t>th</w:t>
      </w:r>
      <w:r w:rsidR="00CD6BD7" w:rsidRPr="00583DCF">
        <w:rPr>
          <w:sz w:val="22"/>
          <w:szCs w:val="22"/>
        </w:rPr>
        <w:t xml:space="preserve">, </w:t>
      </w:r>
      <w:proofErr w:type="gramStart"/>
      <w:r w:rsidR="00BC40F2" w:rsidRPr="00583DCF">
        <w:rPr>
          <w:sz w:val="22"/>
          <w:szCs w:val="22"/>
        </w:rPr>
        <w:t>2025</w:t>
      </w:r>
      <w:proofErr w:type="gramEnd"/>
      <w:r w:rsidR="00583DCF" w:rsidRPr="00583DCF">
        <w:rPr>
          <w:sz w:val="22"/>
          <w:szCs w:val="22"/>
        </w:rPr>
        <w:t xml:space="preserve"> </w:t>
      </w:r>
      <w:r w:rsidR="00FC0314" w:rsidRPr="00583DCF">
        <w:rPr>
          <w:sz w:val="22"/>
          <w:szCs w:val="22"/>
        </w:rPr>
        <w:t>at 10:00 hrs</w:t>
      </w:r>
    </w:p>
    <w:bookmarkEnd w:id="4"/>
    <w:p w14:paraId="38474FDD" w14:textId="77777777" w:rsidR="007560A9" w:rsidRDefault="00844BF7">
      <w:pPr>
        <w:ind w:left="709"/>
        <w:rPr>
          <w:sz w:val="22"/>
          <w:szCs w:val="22"/>
        </w:rPr>
      </w:pPr>
      <w:r>
        <w:rPr>
          <w:sz w:val="22"/>
          <w:szCs w:val="22"/>
        </w:rPr>
        <w:t>Any tender received by the Contracting Authority after this deadline will not be considered.</w:t>
      </w:r>
    </w:p>
    <w:p w14:paraId="22CFAA87"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Tender opening session</w:t>
      </w:r>
    </w:p>
    <w:p w14:paraId="13CDBD56" w14:textId="1C7EC93F" w:rsidR="007560A9" w:rsidRDefault="00844BF7" w:rsidP="00DC1985">
      <w:pPr>
        <w:ind w:left="704" w:right="1"/>
        <w:jc w:val="both"/>
        <w:rPr>
          <w:sz w:val="22"/>
          <w:szCs w:val="22"/>
        </w:rPr>
      </w:pPr>
      <w:r w:rsidRPr="00C55B49">
        <w:rPr>
          <w:sz w:val="22"/>
          <w:szCs w:val="22"/>
        </w:rPr>
        <w:t>Date and venue of tender opening session:</w:t>
      </w:r>
      <w:r w:rsidR="00583DCF">
        <w:rPr>
          <w:sz w:val="22"/>
          <w:szCs w:val="22"/>
        </w:rPr>
        <w:t xml:space="preserve"> </w:t>
      </w:r>
      <w:r w:rsidR="00521E90" w:rsidRPr="00583DCF">
        <w:rPr>
          <w:sz w:val="22"/>
          <w:szCs w:val="22"/>
        </w:rPr>
        <w:t>February 20</w:t>
      </w:r>
      <w:r w:rsidR="00521E90" w:rsidRPr="00583DCF">
        <w:rPr>
          <w:sz w:val="22"/>
          <w:szCs w:val="22"/>
          <w:vertAlign w:val="superscript"/>
        </w:rPr>
        <w:t>th</w:t>
      </w:r>
      <w:r w:rsidR="00521E90" w:rsidRPr="00583DCF">
        <w:rPr>
          <w:sz w:val="22"/>
          <w:szCs w:val="22"/>
        </w:rPr>
        <w:t xml:space="preserve">, </w:t>
      </w:r>
      <w:proofErr w:type="gramStart"/>
      <w:r w:rsidR="00521E90" w:rsidRPr="00583DCF">
        <w:rPr>
          <w:sz w:val="22"/>
          <w:szCs w:val="22"/>
        </w:rPr>
        <w:t>2025</w:t>
      </w:r>
      <w:proofErr w:type="gramEnd"/>
      <w:r w:rsidR="00521E90" w:rsidRPr="00583DCF">
        <w:rPr>
          <w:sz w:val="22"/>
          <w:szCs w:val="22"/>
        </w:rPr>
        <w:t xml:space="preserve"> at 1</w:t>
      </w:r>
      <w:r w:rsidR="00C55B49" w:rsidRPr="00583DCF">
        <w:rPr>
          <w:sz w:val="22"/>
          <w:szCs w:val="22"/>
        </w:rPr>
        <w:t>1</w:t>
      </w:r>
      <w:r w:rsidR="00521E90" w:rsidRPr="00583DCF">
        <w:rPr>
          <w:sz w:val="22"/>
          <w:szCs w:val="22"/>
        </w:rPr>
        <w:t>:00 hrs</w:t>
      </w:r>
      <w:r w:rsidR="00DC1985">
        <w:rPr>
          <w:sz w:val="22"/>
          <w:szCs w:val="22"/>
        </w:rPr>
        <w:t>, at City of Tuzla administration building.</w:t>
      </w:r>
    </w:p>
    <w:p w14:paraId="56E539DF" w14:textId="77777777" w:rsidR="007560A9" w:rsidRDefault="00844BF7">
      <w:pPr>
        <w:numPr>
          <w:ilvl w:val="0"/>
          <w:numId w:val="3"/>
        </w:numPr>
        <w:pBdr>
          <w:top w:val="nil"/>
          <w:left w:val="nil"/>
          <w:bottom w:val="nil"/>
          <w:right w:val="nil"/>
          <w:between w:val="nil"/>
        </w:pBdr>
        <w:rPr>
          <w:color w:val="000000"/>
        </w:rPr>
      </w:pPr>
      <w:r>
        <w:rPr>
          <w:b/>
          <w:color w:val="000000"/>
          <w:sz w:val="22"/>
          <w:szCs w:val="22"/>
        </w:rPr>
        <w:t>Language of the procedure</w:t>
      </w:r>
    </w:p>
    <w:p w14:paraId="32EA119B" w14:textId="77777777" w:rsidR="007560A9" w:rsidRDefault="00844BF7">
      <w:pPr>
        <w:ind w:left="709"/>
        <w:rPr>
          <w:sz w:val="22"/>
          <w:szCs w:val="22"/>
        </w:rPr>
      </w:pPr>
      <w:r w:rsidRPr="00746DE8">
        <w:rPr>
          <w:sz w:val="22"/>
          <w:szCs w:val="22"/>
        </w:rPr>
        <w:t>All written communications for this tender procedure and contract must be in English</w:t>
      </w:r>
      <w:r w:rsidR="00583DCF" w:rsidRPr="00746DE8">
        <w:rPr>
          <w:sz w:val="22"/>
          <w:szCs w:val="22"/>
        </w:rPr>
        <w:t>.</w:t>
      </w:r>
    </w:p>
    <w:p w14:paraId="58B228DF" w14:textId="77777777" w:rsidR="007560A9" w:rsidRDefault="00844BF7">
      <w:pPr>
        <w:keepNext/>
        <w:widowControl/>
        <w:numPr>
          <w:ilvl w:val="0"/>
          <w:numId w:val="3"/>
        </w:numPr>
        <w:pBdr>
          <w:top w:val="nil"/>
          <w:left w:val="nil"/>
          <w:bottom w:val="nil"/>
          <w:right w:val="nil"/>
          <w:between w:val="nil"/>
        </w:pBdr>
        <w:rPr>
          <w:color w:val="000000"/>
        </w:rPr>
      </w:pPr>
      <w:r>
        <w:rPr>
          <w:b/>
          <w:color w:val="000000"/>
          <w:sz w:val="22"/>
          <w:szCs w:val="22"/>
        </w:rPr>
        <w:t>Repetition of similar works</w:t>
      </w:r>
    </w:p>
    <w:p w14:paraId="45D6CA61" w14:textId="77777777" w:rsidR="007560A9" w:rsidRDefault="00404AFE">
      <w:pPr>
        <w:keepNext/>
        <w:widowControl/>
        <w:pBdr>
          <w:top w:val="nil"/>
          <w:left w:val="nil"/>
          <w:bottom w:val="nil"/>
          <w:right w:val="nil"/>
          <w:between w:val="nil"/>
        </w:pBdr>
        <w:ind w:left="720"/>
        <w:jc w:val="both"/>
        <w:rPr>
          <w:color w:val="000000"/>
          <w:sz w:val="22"/>
          <w:szCs w:val="22"/>
        </w:rPr>
      </w:pPr>
      <w:r>
        <w:rPr>
          <w:color w:val="000000"/>
          <w:sz w:val="22"/>
          <w:szCs w:val="22"/>
        </w:rPr>
        <w:t>N/A</w:t>
      </w:r>
    </w:p>
    <w:p w14:paraId="5C1EBD22" w14:textId="77777777" w:rsidR="007560A9" w:rsidRDefault="00844BF7">
      <w:pPr>
        <w:keepNext/>
        <w:widowControl/>
        <w:numPr>
          <w:ilvl w:val="0"/>
          <w:numId w:val="3"/>
        </w:numPr>
        <w:pBdr>
          <w:top w:val="nil"/>
          <w:left w:val="nil"/>
          <w:bottom w:val="nil"/>
          <w:right w:val="nil"/>
          <w:between w:val="nil"/>
        </w:pBdr>
        <w:rPr>
          <w:color w:val="000000"/>
        </w:rPr>
      </w:pPr>
      <w:r>
        <w:rPr>
          <w:b/>
          <w:color w:val="000000"/>
          <w:sz w:val="22"/>
          <w:szCs w:val="22"/>
        </w:rPr>
        <w:t>Legal basis</w:t>
      </w:r>
      <w:r>
        <w:rPr>
          <w:b/>
          <w:color w:val="000000"/>
          <w:sz w:val="22"/>
          <w:szCs w:val="22"/>
          <w:vertAlign w:val="superscript"/>
        </w:rPr>
        <w:footnoteReference w:id="1"/>
      </w:r>
    </w:p>
    <w:p w14:paraId="224AAFA6" w14:textId="77777777" w:rsidR="007560A9" w:rsidRDefault="00B76AC2" w:rsidP="00B76AC2">
      <w:pPr>
        <w:ind w:left="709"/>
        <w:jc w:val="both"/>
        <w:rPr>
          <w:sz w:val="22"/>
          <w:szCs w:val="22"/>
        </w:rPr>
      </w:pPr>
      <w:r w:rsidRPr="00B76AC2">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 (Interreg Regulation),</w:t>
      </w:r>
      <w:r w:rsidR="008D67AC">
        <w:rPr>
          <w:sz w:val="22"/>
          <w:szCs w:val="22"/>
        </w:rPr>
        <w:t xml:space="preserve"> </w:t>
      </w:r>
      <w:r w:rsidRPr="00B76AC2">
        <w:rPr>
          <w:sz w:val="22"/>
          <w:szCs w:val="22"/>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sidR="008D67AC">
        <w:rPr>
          <w:sz w:val="22"/>
          <w:szCs w:val="22"/>
        </w:rPr>
        <w:t xml:space="preserve"> </w:t>
      </w:r>
      <w:r w:rsidRPr="00B76AC2">
        <w:rPr>
          <w:sz w:val="22"/>
          <w:szCs w:val="22"/>
        </w:rPr>
        <w:t>Interreg VI-A IPA programme Croatia – Bosnia and Herzegovina – Montenegro.</w:t>
      </w:r>
    </w:p>
    <w:p w14:paraId="2641352B" w14:textId="77777777" w:rsidR="008D67AC" w:rsidRDefault="008D67AC" w:rsidP="00B76AC2">
      <w:pPr>
        <w:ind w:left="709"/>
        <w:jc w:val="both"/>
        <w:rPr>
          <w:sz w:val="22"/>
          <w:szCs w:val="22"/>
        </w:rPr>
      </w:pPr>
    </w:p>
    <w:p w14:paraId="2EA17F80" w14:textId="77777777" w:rsidR="0078750D" w:rsidRDefault="0078750D" w:rsidP="0078750D">
      <w:pPr>
        <w:ind w:left="709"/>
        <w:jc w:val="center"/>
        <w:rPr>
          <w:sz w:val="22"/>
          <w:szCs w:val="22"/>
        </w:rPr>
      </w:pPr>
      <w:r>
        <w:rPr>
          <w:sz w:val="22"/>
          <w:szCs w:val="22"/>
        </w:rPr>
        <w:t>***</w:t>
      </w:r>
    </w:p>
    <w:sectPr w:rsidR="0078750D" w:rsidSect="00153FB5">
      <w:headerReference w:type="default" r:id="rId12"/>
      <w:footerReference w:type="default" r:id="rId13"/>
      <w:pgSz w:w="12240" w:h="15840"/>
      <w:pgMar w:top="1440" w:right="1440" w:bottom="1440" w:left="1440" w:header="851" w:footer="61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1616B6" w14:textId="77777777" w:rsidR="00F52504" w:rsidRDefault="00F52504">
      <w:pPr>
        <w:spacing w:before="0" w:after="0"/>
      </w:pPr>
      <w:r>
        <w:separator/>
      </w:r>
    </w:p>
  </w:endnote>
  <w:endnote w:type="continuationSeparator" w:id="0">
    <w:p w14:paraId="4F64011F" w14:textId="77777777" w:rsidR="00F52504" w:rsidRDefault="00F5250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A83C6" w14:textId="77777777" w:rsidR="007560A9" w:rsidRDefault="00844BF7">
    <w:pPr>
      <w:pBdr>
        <w:top w:val="nil"/>
        <w:left w:val="nil"/>
        <w:bottom w:val="nil"/>
        <w:right w:val="nil"/>
        <w:between w:val="nil"/>
      </w:pBdr>
      <w:tabs>
        <w:tab w:val="right" w:pos="9356"/>
      </w:tabs>
      <w:spacing w:before="0" w:after="0"/>
      <w:rPr>
        <w:color w:val="000000"/>
        <w:sz w:val="18"/>
        <w:szCs w:val="18"/>
      </w:rPr>
    </w:pPr>
    <w:r>
      <w:rPr>
        <w:color w:val="000000"/>
        <w:sz w:val="18"/>
        <w:szCs w:val="18"/>
      </w:rPr>
      <w:tab/>
      <w:t xml:space="preserve">Page </w:t>
    </w:r>
    <w:r w:rsidR="007155A9">
      <w:rPr>
        <w:color w:val="000000"/>
        <w:sz w:val="18"/>
        <w:szCs w:val="18"/>
      </w:rPr>
      <w:fldChar w:fldCharType="begin"/>
    </w:r>
    <w:r>
      <w:rPr>
        <w:color w:val="000000"/>
        <w:sz w:val="18"/>
        <w:szCs w:val="18"/>
      </w:rPr>
      <w:instrText>PAGE</w:instrText>
    </w:r>
    <w:r w:rsidR="007155A9">
      <w:rPr>
        <w:color w:val="000000"/>
        <w:sz w:val="18"/>
        <w:szCs w:val="18"/>
      </w:rPr>
      <w:fldChar w:fldCharType="separate"/>
    </w:r>
    <w:r w:rsidR="00251580">
      <w:rPr>
        <w:noProof/>
        <w:color w:val="000000"/>
        <w:sz w:val="18"/>
        <w:szCs w:val="18"/>
      </w:rPr>
      <w:t>4</w:t>
    </w:r>
    <w:r w:rsidR="007155A9">
      <w:rPr>
        <w:color w:val="000000"/>
        <w:sz w:val="18"/>
        <w:szCs w:val="18"/>
      </w:rPr>
      <w:fldChar w:fldCharType="end"/>
    </w:r>
    <w:r>
      <w:rPr>
        <w:color w:val="000000"/>
        <w:sz w:val="18"/>
        <w:szCs w:val="18"/>
      </w:rPr>
      <w:t xml:space="preserve"> of </w:t>
    </w:r>
    <w:r w:rsidR="007155A9">
      <w:rPr>
        <w:color w:val="000000"/>
        <w:sz w:val="18"/>
        <w:szCs w:val="18"/>
      </w:rPr>
      <w:fldChar w:fldCharType="begin"/>
    </w:r>
    <w:r>
      <w:rPr>
        <w:color w:val="000000"/>
        <w:sz w:val="18"/>
        <w:szCs w:val="18"/>
      </w:rPr>
      <w:instrText>NUMPAGES</w:instrText>
    </w:r>
    <w:r w:rsidR="007155A9">
      <w:rPr>
        <w:color w:val="000000"/>
        <w:sz w:val="18"/>
        <w:szCs w:val="18"/>
      </w:rPr>
      <w:fldChar w:fldCharType="separate"/>
    </w:r>
    <w:r w:rsidR="00251580">
      <w:rPr>
        <w:noProof/>
        <w:color w:val="000000"/>
        <w:sz w:val="18"/>
        <w:szCs w:val="18"/>
      </w:rPr>
      <w:t>4</w:t>
    </w:r>
    <w:r w:rsidR="007155A9">
      <w:rPr>
        <w:color w:val="000000"/>
        <w:sz w:val="18"/>
        <w:szCs w:val="18"/>
      </w:rPr>
      <w:fldChar w:fldCharType="end"/>
    </w:r>
  </w:p>
  <w:p w14:paraId="1E6E0279" w14:textId="77777777" w:rsidR="007560A9" w:rsidRDefault="007560A9">
    <w:pPr>
      <w:pBdr>
        <w:top w:val="nil"/>
        <w:left w:val="nil"/>
        <w:bottom w:val="nil"/>
        <w:right w:val="nil"/>
        <w:between w:val="nil"/>
      </w:pBdr>
      <w:tabs>
        <w:tab w:val="right" w:pos="9356"/>
      </w:tabs>
      <w:spacing w:before="0" w:after="0"/>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24353F" w14:textId="77777777" w:rsidR="00F52504" w:rsidRDefault="00F52504">
      <w:pPr>
        <w:spacing w:before="0" w:after="0"/>
      </w:pPr>
      <w:r>
        <w:separator/>
      </w:r>
    </w:p>
  </w:footnote>
  <w:footnote w:type="continuationSeparator" w:id="0">
    <w:p w14:paraId="1AD4CFDB" w14:textId="77777777" w:rsidR="00F52504" w:rsidRDefault="00F52504">
      <w:pPr>
        <w:spacing w:before="0" w:after="0"/>
      </w:pPr>
      <w:r>
        <w:continuationSeparator/>
      </w:r>
    </w:p>
  </w:footnote>
  <w:footnote w:id="1">
    <w:p w14:paraId="11AA5B02" w14:textId="77777777" w:rsidR="007560A9" w:rsidRDefault="00844BF7">
      <w:pPr>
        <w:pBdr>
          <w:top w:val="nil"/>
          <w:left w:val="nil"/>
          <w:bottom w:val="nil"/>
          <w:right w:val="nil"/>
          <w:between w:val="nil"/>
        </w:pBdr>
        <w:ind w:left="142" w:hanging="142"/>
        <w:rPr>
          <w:color w:val="000000"/>
          <w:sz w:val="20"/>
          <w:szCs w:val="20"/>
        </w:rPr>
      </w:pPr>
      <w:r>
        <w:rPr>
          <w:vertAlign w:val="superscript"/>
        </w:rPr>
        <w:footnoteRef/>
      </w:r>
      <w:r>
        <w:rPr>
          <w:color w:val="000000"/>
          <w:sz w:val="20"/>
          <w:szCs w:val="20"/>
        </w:rPr>
        <w:tab/>
        <w:t>Please state any specificity that might have an impact on rules on participation (such as geographic or thematic 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16C30" w14:textId="77777777" w:rsidR="00C12EAB" w:rsidRDefault="00B76AC2" w:rsidP="00C12EAB">
    <w:pPr>
      <w:rPr>
        <w:b/>
        <w:bCs/>
        <w:sz w:val="20"/>
        <w:szCs w:val="20"/>
      </w:rPr>
    </w:pPr>
    <w:r>
      <w:rPr>
        <w:b/>
        <w:bCs/>
        <w:noProof/>
        <w:sz w:val="20"/>
        <w:lang w:val="en-US"/>
      </w:rPr>
      <w:drawing>
        <wp:inline distT="0" distB="0" distL="0" distR="0" wp14:anchorId="618ABC6D" wp14:editId="226B83C1">
          <wp:extent cx="2865120" cy="853440"/>
          <wp:effectExtent l="0" t="0" r="0" b="3810"/>
          <wp:docPr id="728902127"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902127" name="Picture 1" descr="A blue flag with yellow dots&#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BE37FF"/>
    <w:multiLevelType w:val="multilevel"/>
    <w:tmpl w:val="CE644A70"/>
    <w:lvl w:ilvl="0">
      <w:start w:val="1"/>
      <w:numFmt w:val="bullet"/>
      <w:lvlText w:val="-"/>
      <w:lvlJc w:val="left"/>
      <w:pPr>
        <w:ind w:left="720" w:hanging="360"/>
      </w:pPr>
      <w:rPr>
        <w:rFonts w:ascii="Calibri" w:eastAsia="Calibri" w:hAnsi="Calibri" w:cs="Calibri"/>
        <w:sz w:val="18"/>
        <w:szCs w:val="18"/>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22525232"/>
    <w:multiLevelType w:val="multilevel"/>
    <w:tmpl w:val="03148B0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41714020"/>
    <w:multiLevelType w:val="hybridMultilevel"/>
    <w:tmpl w:val="7F5A380E"/>
    <w:lvl w:ilvl="0" w:tplc="98DE0692">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4B776B0F"/>
    <w:multiLevelType w:val="multilevel"/>
    <w:tmpl w:val="D7740F0E"/>
    <w:lvl w:ilvl="0">
      <w:start w:val="1"/>
      <w:numFmt w:val="decimal"/>
      <w:lvlText w:val="%1."/>
      <w:lvlJc w:val="left"/>
      <w:pPr>
        <w:ind w:left="0" w:firstLine="0"/>
      </w:pPr>
      <w:rPr>
        <w:rFonts w:ascii="Times New Roman" w:eastAsia="Times New Roman" w:hAnsi="Times New Roman" w:cs="Times New Roman"/>
        <w:b/>
        <w:i w:val="0"/>
        <w:sz w:val="22"/>
        <w:szCs w:val="22"/>
        <w:vertAlign w:val="baseline"/>
      </w:rPr>
    </w:lvl>
    <w:lvl w:ilvl="1">
      <w:start w:val="1"/>
      <w:numFmt w:val="lowerLetter"/>
      <w:lvlText w:val="%2."/>
      <w:lvlJc w:val="left"/>
      <w:pPr>
        <w:ind w:left="-5640" w:hanging="360"/>
      </w:pPr>
      <w:rPr>
        <w:vertAlign w:val="baseline"/>
      </w:rPr>
    </w:lvl>
    <w:lvl w:ilvl="2">
      <w:start w:val="1"/>
      <w:numFmt w:val="lowerRoman"/>
      <w:lvlText w:val="%3."/>
      <w:lvlJc w:val="right"/>
      <w:pPr>
        <w:ind w:left="-4920" w:hanging="180"/>
      </w:pPr>
      <w:rPr>
        <w:vertAlign w:val="baseline"/>
      </w:rPr>
    </w:lvl>
    <w:lvl w:ilvl="3">
      <w:start w:val="1"/>
      <w:numFmt w:val="decimal"/>
      <w:lvlText w:val="%4."/>
      <w:lvlJc w:val="left"/>
      <w:pPr>
        <w:ind w:left="-4200" w:hanging="360"/>
      </w:pPr>
      <w:rPr>
        <w:vertAlign w:val="baseline"/>
      </w:rPr>
    </w:lvl>
    <w:lvl w:ilvl="4">
      <w:start w:val="1"/>
      <w:numFmt w:val="lowerLetter"/>
      <w:lvlText w:val="%5."/>
      <w:lvlJc w:val="left"/>
      <w:pPr>
        <w:ind w:left="-3480" w:hanging="360"/>
      </w:pPr>
      <w:rPr>
        <w:vertAlign w:val="baseline"/>
      </w:rPr>
    </w:lvl>
    <w:lvl w:ilvl="5">
      <w:start w:val="1"/>
      <w:numFmt w:val="lowerRoman"/>
      <w:lvlText w:val="%6."/>
      <w:lvlJc w:val="right"/>
      <w:pPr>
        <w:ind w:left="-2760" w:hanging="180"/>
      </w:pPr>
      <w:rPr>
        <w:vertAlign w:val="baseline"/>
      </w:rPr>
    </w:lvl>
    <w:lvl w:ilvl="6">
      <w:start w:val="1"/>
      <w:numFmt w:val="decimal"/>
      <w:lvlText w:val="%7."/>
      <w:lvlJc w:val="left"/>
      <w:pPr>
        <w:ind w:left="-2040" w:hanging="360"/>
      </w:pPr>
      <w:rPr>
        <w:vertAlign w:val="baseline"/>
      </w:rPr>
    </w:lvl>
    <w:lvl w:ilvl="7">
      <w:start w:val="1"/>
      <w:numFmt w:val="lowerLetter"/>
      <w:lvlText w:val="%8."/>
      <w:lvlJc w:val="left"/>
      <w:pPr>
        <w:ind w:left="-1320" w:hanging="360"/>
      </w:pPr>
      <w:rPr>
        <w:vertAlign w:val="baseline"/>
      </w:rPr>
    </w:lvl>
    <w:lvl w:ilvl="8">
      <w:start w:val="1"/>
      <w:numFmt w:val="lowerRoman"/>
      <w:lvlText w:val="%9."/>
      <w:lvlJc w:val="right"/>
      <w:pPr>
        <w:ind w:left="-600" w:hanging="180"/>
      </w:pPr>
      <w:rPr>
        <w:vertAlign w:val="baseline"/>
      </w:rPr>
    </w:lvl>
  </w:abstractNum>
  <w:abstractNum w:abstractNumId="4" w15:restartNumberingAfterBreak="0">
    <w:nsid w:val="59363708"/>
    <w:multiLevelType w:val="multilevel"/>
    <w:tmpl w:val="D54EC64A"/>
    <w:lvl w:ilvl="0">
      <w:start w:val="1"/>
      <w:numFmt w:val="decimal"/>
      <w:lvlText w:val="%1."/>
      <w:lvlJc w:val="left"/>
      <w:pPr>
        <w:ind w:left="644" w:hanging="359"/>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625530EE"/>
    <w:multiLevelType w:val="multilevel"/>
    <w:tmpl w:val="CDB2BEC6"/>
    <w:lvl w:ilvl="0">
      <w:start w:val="1"/>
      <w:numFmt w:val="lowerLetter"/>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6" w15:restartNumberingAfterBreak="0">
    <w:nsid w:val="63F572C2"/>
    <w:multiLevelType w:val="multilevel"/>
    <w:tmpl w:val="A86A5C96"/>
    <w:lvl w:ilvl="0">
      <w:start w:val="1"/>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25715356">
    <w:abstractNumId w:val="1"/>
  </w:num>
  <w:num w:numId="2" w16cid:durableId="1388604130">
    <w:abstractNumId w:val="4"/>
  </w:num>
  <w:num w:numId="3" w16cid:durableId="1161193544">
    <w:abstractNumId w:val="3"/>
  </w:num>
  <w:num w:numId="4" w16cid:durableId="1682274843">
    <w:abstractNumId w:val="6"/>
  </w:num>
  <w:num w:numId="5" w16cid:durableId="1918322851">
    <w:abstractNumId w:val="0"/>
  </w:num>
  <w:num w:numId="6" w16cid:durableId="325088314">
    <w:abstractNumId w:val="5"/>
  </w:num>
  <w:num w:numId="7" w16cid:durableId="17565926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560A9"/>
    <w:rsid w:val="00013A5C"/>
    <w:rsid w:val="00072264"/>
    <w:rsid w:val="000A597C"/>
    <w:rsid w:val="000D5BCE"/>
    <w:rsid w:val="000F72A5"/>
    <w:rsid w:val="0010616B"/>
    <w:rsid w:val="001176A7"/>
    <w:rsid w:val="0012364C"/>
    <w:rsid w:val="00135317"/>
    <w:rsid w:val="00153FB5"/>
    <w:rsid w:val="00155108"/>
    <w:rsid w:val="0018781C"/>
    <w:rsid w:val="001878E6"/>
    <w:rsid w:val="001A36A2"/>
    <w:rsid w:val="001C66F4"/>
    <w:rsid w:val="001D1912"/>
    <w:rsid w:val="001F5B3A"/>
    <w:rsid w:val="0023422D"/>
    <w:rsid w:val="00237682"/>
    <w:rsid w:val="00251580"/>
    <w:rsid w:val="00256B62"/>
    <w:rsid w:val="00272112"/>
    <w:rsid w:val="0029394C"/>
    <w:rsid w:val="002945E2"/>
    <w:rsid w:val="00297A3C"/>
    <w:rsid w:val="002C0AC4"/>
    <w:rsid w:val="002D5E3B"/>
    <w:rsid w:val="002D7C74"/>
    <w:rsid w:val="00323E97"/>
    <w:rsid w:val="003434E5"/>
    <w:rsid w:val="00371C21"/>
    <w:rsid w:val="00384473"/>
    <w:rsid w:val="003B0386"/>
    <w:rsid w:val="003E1D03"/>
    <w:rsid w:val="003E25C9"/>
    <w:rsid w:val="003F7484"/>
    <w:rsid w:val="00404AFE"/>
    <w:rsid w:val="00422C10"/>
    <w:rsid w:val="0044002A"/>
    <w:rsid w:val="004422D9"/>
    <w:rsid w:val="00466BE5"/>
    <w:rsid w:val="00471293"/>
    <w:rsid w:val="004721CB"/>
    <w:rsid w:val="004800E0"/>
    <w:rsid w:val="00484741"/>
    <w:rsid w:val="00485A88"/>
    <w:rsid w:val="00496DBF"/>
    <w:rsid w:val="004B391C"/>
    <w:rsid w:val="004B6207"/>
    <w:rsid w:val="004C39D9"/>
    <w:rsid w:val="004D2D5B"/>
    <w:rsid w:val="004F4747"/>
    <w:rsid w:val="00503900"/>
    <w:rsid w:val="00510BC1"/>
    <w:rsid w:val="00521244"/>
    <w:rsid w:val="00521E90"/>
    <w:rsid w:val="005434FB"/>
    <w:rsid w:val="00560FFC"/>
    <w:rsid w:val="00577B91"/>
    <w:rsid w:val="00583DCF"/>
    <w:rsid w:val="005875B6"/>
    <w:rsid w:val="005C2209"/>
    <w:rsid w:val="005C5330"/>
    <w:rsid w:val="00606CAB"/>
    <w:rsid w:val="00625478"/>
    <w:rsid w:val="0064051D"/>
    <w:rsid w:val="00651C1B"/>
    <w:rsid w:val="00676173"/>
    <w:rsid w:val="0069501D"/>
    <w:rsid w:val="006B351E"/>
    <w:rsid w:val="006B55B6"/>
    <w:rsid w:val="007155A9"/>
    <w:rsid w:val="00746DE8"/>
    <w:rsid w:val="007560A9"/>
    <w:rsid w:val="00760577"/>
    <w:rsid w:val="007672AD"/>
    <w:rsid w:val="007737E7"/>
    <w:rsid w:val="0077747B"/>
    <w:rsid w:val="0078750D"/>
    <w:rsid w:val="007941E3"/>
    <w:rsid w:val="0079592B"/>
    <w:rsid w:val="007A01F7"/>
    <w:rsid w:val="007B3EF5"/>
    <w:rsid w:val="007C0D1C"/>
    <w:rsid w:val="00806534"/>
    <w:rsid w:val="008302C9"/>
    <w:rsid w:val="00844BF7"/>
    <w:rsid w:val="00866BCD"/>
    <w:rsid w:val="00890A58"/>
    <w:rsid w:val="008C5E50"/>
    <w:rsid w:val="008C7235"/>
    <w:rsid w:val="008D51D1"/>
    <w:rsid w:val="008D67AC"/>
    <w:rsid w:val="008E544E"/>
    <w:rsid w:val="00920F87"/>
    <w:rsid w:val="0092203B"/>
    <w:rsid w:val="009271EA"/>
    <w:rsid w:val="009C53E1"/>
    <w:rsid w:val="00A15601"/>
    <w:rsid w:val="00A76C8B"/>
    <w:rsid w:val="00A877ED"/>
    <w:rsid w:val="00A92EFD"/>
    <w:rsid w:val="00A9360B"/>
    <w:rsid w:val="00AD735D"/>
    <w:rsid w:val="00AE748E"/>
    <w:rsid w:val="00B04582"/>
    <w:rsid w:val="00B5285E"/>
    <w:rsid w:val="00B76AC2"/>
    <w:rsid w:val="00B95E94"/>
    <w:rsid w:val="00BB1933"/>
    <w:rsid w:val="00BC40F2"/>
    <w:rsid w:val="00C01925"/>
    <w:rsid w:val="00C12EAB"/>
    <w:rsid w:val="00C55B49"/>
    <w:rsid w:val="00C63D15"/>
    <w:rsid w:val="00C94485"/>
    <w:rsid w:val="00CD6BD7"/>
    <w:rsid w:val="00D02CA0"/>
    <w:rsid w:val="00DC1985"/>
    <w:rsid w:val="00DD2D90"/>
    <w:rsid w:val="00DD5FE5"/>
    <w:rsid w:val="00E00A65"/>
    <w:rsid w:val="00E02B5B"/>
    <w:rsid w:val="00E0506E"/>
    <w:rsid w:val="00E1294F"/>
    <w:rsid w:val="00E27863"/>
    <w:rsid w:val="00E459B3"/>
    <w:rsid w:val="00E51566"/>
    <w:rsid w:val="00EC7004"/>
    <w:rsid w:val="00ED6095"/>
    <w:rsid w:val="00EE357B"/>
    <w:rsid w:val="00EF08DA"/>
    <w:rsid w:val="00EF420A"/>
    <w:rsid w:val="00F033C3"/>
    <w:rsid w:val="00F03419"/>
    <w:rsid w:val="00F22A6D"/>
    <w:rsid w:val="00F35B4F"/>
    <w:rsid w:val="00F47FF1"/>
    <w:rsid w:val="00F52504"/>
    <w:rsid w:val="00F63E9C"/>
    <w:rsid w:val="00FA7F50"/>
    <w:rsid w:val="00FC0314"/>
    <w:rsid w:val="00FC3FEC"/>
    <w:rsid w:val="00FD4626"/>
    <w:rsid w:val="00FD70A2"/>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rules v:ext="edit">
        <o:r id="V:Rule1" type="connector" idref="#Straight Arrow Connector 5"/>
        <o:r id="V:Rule2" type="connector" idref="#Straight Arrow Connector 1"/>
        <o:r id="V:Rule3" type="connector" idref="#Straight Arrow Connector 3"/>
        <o:r id="V:Rule4" type="connector" idref="#Straight Arrow Connector 2"/>
        <o:r id="V:Rule5" type="connector" idref="#Straight Arrow Connector 4"/>
      </o:rules>
    </o:shapelayout>
  </w:shapeDefaults>
  <w:decimalSymbol w:val=","/>
  <w:listSeparator w:val=";"/>
  <w14:docId w14:val="7E7B8717"/>
  <w15:docId w15:val="{2C950D03-DBDA-40CC-A17C-4C6CB2F5B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GB" w:eastAsia="en-US" w:bidi="ar-SA"/>
      </w:rPr>
    </w:rPrDefault>
    <w:pPrDefault>
      <w:pPr>
        <w:widowControl w:val="0"/>
        <w:spacing w:before="100"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53FB5"/>
  </w:style>
  <w:style w:type="paragraph" w:styleId="Heading1">
    <w:name w:val="heading 1"/>
    <w:basedOn w:val="Normal"/>
    <w:next w:val="Normal"/>
    <w:rsid w:val="00153FB5"/>
    <w:pPr>
      <w:keepNext/>
      <w:keepLines/>
      <w:spacing w:before="480" w:after="120"/>
      <w:outlineLvl w:val="0"/>
    </w:pPr>
    <w:rPr>
      <w:b/>
      <w:sz w:val="48"/>
      <w:szCs w:val="48"/>
    </w:rPr>
  </w:style>
  <w:style w:type="paragraph" w:styleId="Heading2">
    <w:name w:val="heading 2"/>
    <w:basedOn w:val="Normal"/>
    <w:next w:val="Normal"/>
    <w:rsid w:val="00153FB5"/>
    <w:pPr>
      <w:keepNext/>
      <w:keepLines/>
      <w:spacing w:before="360" w:after="80"/>
      <w:outlineLvl w:val="1"/>
    </w:pPr>
    <w:rPr>
      <w:b/>
      <w:sz w:val="36"/>
      <w:szCs w:val="36"/>
    </w:rPr>
  </w:style>
  <w:style w:type="paragraph" w:styleId="Heading3">
    <w:name w:val="heading 3"/>
    <w:basedOn w:val="Normal"/>
    <w:next w:val="Normal"/>
    <w:rsid w:val="00153FB5"/>
    <w:pPr>
      <w:keepNext/>
      <w:keepLines/>
      <w:spacing w:before="280" w:after="80"/>
      <w:outlineLvl w:val="2"/>
    </w:pPr>
    <w:rPr>
      <w:b/>
      <w:sz w:val="28"/>
      <w:szCs w:val="28"/>
    </w:rPr>
  </w:style>
  <w:style w:type="paragraph" w:styleId="Heading4">
    <w:name w:val="heading 4"/>
    <w:basedOn w:val="Normal"/>
    <w:next w:val="Normal"/>
    <w:rsid w:val="00153FB5"/>
    <w:pPr>
      <w:keepNext/>
      <w:keepLines/>
      <w:spacing w:before="240" w:after="40"/>
      <w:outlineLvl w:val="3"/>
    </w:pPr>
    <w:rPr>
      <w:b/>
    </w:rPr>
  </w:style>
  <w:style w:type="paragraph" w:styleId="Heading5">
    <w:name w:val="heading 5"/>
    <w:basedOn w:val="Normal"/>
    <w:next w:val="Normal"/>
    <w:rsid w:val="00153FB5"/>
    <w:pPr>
      <w:keepNext/>
      <w:keepLines/>
      <w:spacing w:before="220" w:after="40"/>
      <w:outlineLvl w:val="4"/>
    </w:pPr>
    <w:rPr>
      <w:b/>
      <w:sz w:val="22"/>
      <w:szCs w:val="22"/>
    </w:rPr>
  </w:style>
  <w:style w:type="paragraph" w:styleId="Heading6">
    <w:name w:val="heading 6"/>
    <w:basedOn w:val="Normal"/>
    <w:next w:val="Normal"/>
    <w:rsid w:val="00153FB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153FB5"/>
    <w:pPr>
      <w:keepNext/>
      <w:keepLines/>
      <w:spacing w:before="480" w:after="120"/>
    </w:pPr>
    <w:rPr>
      <w:b/>
      <w:sz w:val="72"/>
      <w:szCs w:val="72"/>
    </w:rPr>
  </w:style>
  <w:style w:type="paragraph" w:styleId="Subtitle">
    <w:name w:val="Subtitle"/>
    <w:basedOn w:val="Normal"/>
    <w:next w:val="Normal"/>
    <w:rsid w:val="00153FB5"/>
    <w:pPr>
      <w:keepNext/>
      <w:keepLines/>
      <w:spacing w:before="360" w:after="80"/>
    </w:pPr>
    <w:rPr>
      <w:rFonts w:ascii="Georgia" w:eastAsia="Georgia" w:hAnsi="Georgia" w:cs="Georgia"/>
      <w:i/>
      <w:color w:val="666666"/>
      <w:sz w:val="48"/>
      <w:szCs w:val="48"/>
    </w:rPr>
  </w:style>
  <w:style w:type="table" w:customStyle="1" w:styleId="a">
    <w:basedOn w:val="TableNormal"/>
    <w:rsid w:val="00153FB5"/>
    <w:tblPr>
      <w:tblStyleRowBandSize w:val="1"/>
      <w:tblStyleColBandSize w:val="1"/>
    </w:tblPr>
  </w:style>
  <w:style w:type="table" w:customStyle="1" w:styleId="a0">
    <w:basedOn w:val="TableNormal"/>
    <w:rsid w:val="00153FB5"/>
    <w:tblPr>
      <w:tblStyleRowBandSize w:val="1"/>
      <w:tblStyleColBandSize w:val="1"/>
    </w:tblPr>
  </w:style>
  <w:style w:type="table" w:customStyle="1" w:styleId="a1">
    <w:basedOn w:val="TableNormal"/>
    <w:rsid w:val="00153FB5"/>
    <w:tblPr>
      <w:tblStyleRowBandSize w:val="1"/>
      <w:tblStyleColBandSize w:val="1"/>
    </w:tblPr>
  </w:style>
  <w:style w:type="table" w:customStyle="1" w:styleId="a2">
    <w:basedOn w:val="TableNormal"/>
    <w:rsid w:val="00153FB5"/>
    <w:tblPr>
      <w:tblStyleRowBandSize w:val="1"/>
      <w:tblStyleColBandSize w:val="1"/>
    </w:tblPr>
  </w:style>
  <w:style w:type="table" w:customStyle="1" w:styleId="a3">
    <w:basedOn w:val="TableNormal"/>
    <w:rsid w:val="00153FB5"/>
    <w:tblPr>
      <w:tblStyleRowBandSize w:val="1"/>
      <w:tblStyleColBandSize w:val="1"/>
    </w:tblPr>
  </w:style>
  <w:style w:type="table" w:customStyle="1" w:styleId="a4">
    <w:basedOn w:val="TableNormal"/>
    <w:rsid w:val="00153FB5"/>
    <w:tblPr>
      <w:tblStyleRowBandSize w:val="1"/>
      <w:tblStyleColBandSize w:val="1"/>
    </w:tblPr>
  </w:style>
  <w:style w:type="table" w:customStyle="1" w:styleId="a5">
    <w:basedOn w:val="TableNormal"/>
    <w:rsid w:val="00153FB5"/>
    <w:tblPr>
      <w:tblStyleRowBandSize w:val="1"/>
      <w:tblStyleColBandSize w:val="1"/>
    </w:tblPr>
  </w:style>
  <w:style w:type="table" w:customStyle="1" w:styleId="a6">
    <w:basedOn w:val="TableNormal"/>
    <w:rsid w:val="00153FB5"/>
    <w:tblPr>
      <w:tblStyleRowBandSize w:val="1"/>
      <w:tblStyleColBandSize w:val="1"/>
    </w:tblPr>
  </w:style>
  <w:style w:type="table" w:customStyle="1" w:styleId="a7">
    <w:basedOn w:val="TableNormal"/>
    <w:rsid w:val="00153FB5"/>
    <w:tblPr>
      <w:tblStyleRowBandSize w:val="1"/>
      <w:tblStyleColBandSize w:val="1"/>
    </w:tblPr>
  </w:style>
  <w:style w:type="paragraph" w:styleId="CommentText">
    <w:name w:val="annotation text"/>
    <w:basedOn w:val="Normal"/>
    <w:link w:val="CommentTextChar"/>
    <w:uiPriority w:val="99"/>
    <w:unhideWhenUsed/>
    <w:rsid w:val="00153FB5"/>
    <w:rPr>
      <w:sz w:val="20"/>
      <w:szCs w:val="20"/>
    </w:rPr>
  </w:style>
  <w:style w:type="character" w:customStyle="1" w:styleId="CommentTextChar">
    <w:name w:val="Comment Text Char"/>
    <w:basedOn w:val="DefaultParagraphFont"/>
    <w:link w:val="CommentText"/>
    <w:uiPriority w:val="99"/>
    <w:rsid w:val="00153FB5"/>
    <w:rPr>
      <w:sz w:val="20"/>
      <w:szCs w:val="20"/>
    </w:rPr>
  </w:style>
  <w:style w:type="character" w:styleId="CommentReference">
    <w:name w:val="annotation reference"/>
    <w:basedOn w:val="DefaultParagraphFont"/>
    <w:uiPriority w:val="99"/>
    <w:semiHidden/>
    <w:unhideWhenUsed/>
    <w:rsid w:val="00153FB5"/>
    <w:rPr>
      <w:sz w:val="16"/>
      <w:szCs w:val="16"/>
    </w:rPr>
  </w:style>
  <w:style w:type="paragraph" w:styleId="BalloonText">
    <w:name w:val="Balloon Text"/>
    <w:basedOn w:val="Normal"/>
    <w:link w:val="BalloonTextChar"/>
    <w:uiPriority w:val="99"/>
    <w:semiHidden/>
    <w:unhideWhenUsed/>
    <w:rsid w:val="004C39D9"/>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39D9"/>
    <w:rPr>
      <w:rFonts w:ascii="Segoe UI" w:hAnsi="Segoe UI" w:cs="Segoe UI"/>
      <w:sz w:val="18"/>
      <w:szCs w:val="18"/>
    </w:rPr>
  </w:style>
  <w:style w:type="paragraph" w:styleId="Header">
    <w:name w:val="header"/>
    <w:basedOn w:val="Normal"/>
    <w:link w:val="HeaderChar"/>
    <w:uiPriority w:val="99"/>
    <w:unhideWhenUsed/>
    <w:rsid w:val="004C39D9"/>
    <w:pPr>
      <w:tabs>
        <w:tab w:val="center" w:pos="4703"/>
        <w:tab w:val="right" w:pos="9406"/>
      </w:tabs>
      <w:spacing w:before="0" w:after="0"/>
    </w:pPr>
  </w:style>
  <w:style w:type="character" w:customStyle="1" w:styleId="HeaderChar">
    <w:name w:val="Header Char"/>
    <w:basedOn w:val="DefaultParagraphFont"/>
    <w:link w:val="Header"/>
    <w:uiPriority w:val="99"/>
    <w:rsid w:val="004C39D9"/>
  </w:style>
  <w:style w:type="paragraph" w:styleId="Footer">
    <w:name w:val="footer"/>
    <w:basedOn w:val="Normal"/>
    <w:link w:val="FooterChar"/>
    <w:uiPriority w:val="99"/>
    <w:unhideWhenUsed/>
    <w:rsid w:val="004C39D9"/>
    <w:pPr>
      <w:tabs>
        <w:tab w:val="center" w:pos="4703"/>
        <w:tab w:val="right" w:pos="9406"/>
      </w:tabs>
      <w:spacing w:before="0" w:after="0"/>
    </w:pPr>
  </w:style>
  <w:style w:type="character" w:customStyle="1" w:styleId="FooterChar">
    <w:name w:val="Footer Char"/>
    <w:basedOn w:val="DefaultParagraphFont"/>
    <w:link w:val="Footer"/>
    <w:uiPriority w:val="99"/>
    <w:rsid w:val="004C39D9"/>
  </w:style>
  <w:style w:type="paragraph" w:styleId="CommentSubject">
    <w:name w:val="annotation subject"/>
    <w:basedOn w:val="CommentText"/>
    <w:next w:val="CommentText"/>
    <w:link w:val="CommentSubjectChar"/>
    <w:uiPriority w:val="99"/>
    <w:semiHidden/>
    <w:unhideWhenUsed/>
    <w:rsid w:val="00135317"/>
    <w:rPr>
      <w:b/>
      <w:bCs/>
    </w:rPr>
  </w:style>
  <w:style w:type="character" w:customStyle="1" w:styleId="CommentSubjectChar">
    <w:name w:val="Comment Subject Char"/>
    <w:basedOn w:val="CommentTextChar"/>
    <w:link w:val="CommentSubject"/>
    <w:uiPriority w:val="99"/>
    <w:semiHidden/>
    <w:rsid w:val="00135317"/>
    <w:rPr>
      <w:b/>
      <w:bCs/>
      <w:sz w:val="20"/>
      <w:szCs w:val="20"/>
    </w:rPr>
  </w:style>
  <w:style w:type="character" w:styleId="Hyperlink">
    <w:name w:val="Hyperlink"/>
    <w:rsid w:val="00F033C3"/>
    <w:rPr>
      <w:color w:val="0000FF"/>
      <w:u w:val="single"/>
    </w:rPr>
  </w:style>
  <w:style w:type="character" w:customStyle="1" w:styleId="UnresolvedMention1">
    <w:name w:val="Unresolved Mention1"/>
    <w:basedOn w:val="DefaultParagraphFont"/>
    <w:uiPriority w:val="99"/>
    <w:semiHidden/>
    <w:unhideWhenUsed/>
    <w:rsid w:val="003F7484"/>
    <w:rPr>
      <w:color w:val="605E5C"/>
      <w:shd w:val="clear" w:color="auto" w:fill="E1DFDD"/>
    </w:rPr>
  </w:style>
  <w:style w:type="paragraph" w:styleId="ListParagraph">
    <w:name w:val="List Paragraph"/>
    <w:basedOn w:val="Normal"/>
    <w:uiPriority w:val="34"/>
    <w:qFormat/>
    <w:rsid w:val="003F7484"/>
    <w:pPr>
      <w:ind w:left="720"/>
      <w:contextualSpacing/>
    </w:pPr>
  </w:style>
  <w:style w:type="character" w:styleId="FollowedHyperlink">
    <w:name w:val="FollowedHyperlink"/>
    <w:basedOn w:val="DefaultParagraphFont"/>
    <w:uiPriority w:val="99"/>
    <w:semiHidden/>
    <w:unhideWhenUsed/>
    <w:rsid w:val="00B95E9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ad.tuzla.ba/sport-facilities-green-energy-sinergy-u-tuzli/"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ldar.hrncic@tuzla.ba"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ad.tuzla.ba/sport-facilities-green-energy-sinergy-u-tuzli/"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ldar.hrncic@tuzla.ba" TargetMode="External"/><Relationship Id="rId4" Type="http://schemas.openxmlformats.org/officeDocument/2006/relationships/webSettings" Target="webSettings.xml"/><Relationship Id="rId9" Type="http://schemas.openxmlformats.org/officeDocument/2006/relationships/hyperlink" Target="mailto:esmirs@tuzla.b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358</TotalTime>
  <Pages>4</Pages>
  <Words>1215</Words>
  <Characters>6926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Eldar Hrnčić</cp:lastModifiedBy>
  <cp:revision>101</cp:revision>
  <dcterms:created xsi:type="dcterms:W3CDTF">2019-04-05T09:38:00Z</dcterms:created>
  <dcterms:modified xsi:type="dcterms:W3CDTF">2024-12-19T08:52:00Z</dcterms:modified>
</cp:coreProperties>
</file>